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510CC8" w14:textId="0A05A7ED" w:rsidR="000F6F29" w:rsidRPr="00A464CF" w:rsidRDefault="00607F3A" w:rsidP="001732EB">
      <w:pPr>
        <w:spacing w:before="120" w:after="120" w:line="264" w:lineRule="auto"/>
        <w:ind w:right="-141"/>
        <w:jc w:val="center"/>
        <w:rPr>
          <w:b/>
        </w:rPr>
      </w:pPr>
      <w:r>
        <w:rPr>
          <w:b/>
        </w:rPr>
        <w:t>Phụ lục</w:t>
      </w:r>
      <w:r w:rsidR="007337A3" w:rsidRPr="00A464CF">
        <w:rPr>
          <w:b/>
        </w:rPr>
        <w:t xml:space="preserve"> 1</w:t>
      </w:r>
      <w:r w:rsidR="000F6F29" w:rsidRPr="00A464CF">
        <w:rPr>
          <w:b/>
        </w:rPr>
        <w:t>: TÌNH HÌNH THỰC HIỆN CÁC NHIỆM VỤ VÀ NHÓM NHIỆM VỤ ĐƯỢC PHÂN CÔNG THEO NGHỊ QUYẾT 27</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378"/>
        <w:gridCol w:w="7771"/>
        <w:gridCol w:w="1306"/>
      </w:tblGrid>
      <w:tr w:rsidR="00A464CF" w:rsidRPr="00A464CF" w14:paraId="52CE9E09" w14:textId="77777777" w:rsidTr="00AA2D1A">
        <w:trPr>
          <w:trHeight w:val="528"/>
        </w:trPr>
        <w:tc>
          <w:tcPr>
            <w:tcW w:w="708" w:type="dxa"/>
            <w:shd w:val="clear" w:color="auto" w:fill="auto"/>
            <w:noWrap/>
            <w:vAlign w:val="center"/>
            <w:hideMark/>
          </w:tcPr>
          <w:p w14:paraId="00643039" w14:textId="77777777" w:rsidR="000F6F29" w:rsidRPr="00A464CF" w:rsidRDefault="000F6F29" w:rsidP="007337A3">
            <w:pPr>
              <w:jc w:val="center"/>
              <w:rPr>
                <w:rFonts w:eastAsia="Times New Roman"/>
                <w:b/>
                <w:bCs/>
                <w:sz w:val="22"/>
                <w:szCs w:val="22"/>
              </w:rPr>
            </w:pPr>
            <w:r w:rsidRPr="00A464CF">
              <w:rPr>
                <w:rFonts w:eastAsia="Times New Roman"/>
                <w:b/>
                <w:bCs/>
                <w:sz w:val="22"/>
                <w:szCs w:val="22"/>
              </w:rPr>
              <w:t>TT</w:t>
            </w:r>
          </w:p>
        </w:tc>
        <w:tc>
          <w:tcPr>
            <w:tcW w:w="5378" w:type="dxa"/>
            <w:shd w:val="clear" w:color="auto" w:fill="auto"/>
            <w:vAlign w:val="center"/>
            <w:hideMark/>
          </w:tcPr>
          <w:p w14:paraId="1E9AACD6" w14:textId="4CBCBDA9" w:rsidR="000F6F29" w:rsidRPr="00A464CF" w:rsidRDefault="000F6F29" w:rsidP="000E36B8">
            <w:pPr>
              <w:ind w:right="-135"/>
              <w:jc w:val="center"/>
              <w:rPr>
                <w:rFonts w:eastAsia="Times New Roman"/>
                <w:b/>
                <w:bCs/>
                <w:sz w:val="22"/>
                <w:szCs w:val="22"/>
              </w:rPr>
            </w:pPr>
            <w:r w:rsidRPr="00A464CF">
              <w:rPr>
                <w:rFonts w:eastAsia="Times New Roman"/>
                <w:b/>
                <w:bCs/>
                <w:sz w:val="22"/>
                <w:szCs w:val="22"/>
              </w:rPr>
              <w:t xml:space="preserve">Các chủ trương, chính sách lớn và Nhiệm vụ, giải </w:t>
            </w:r>
            <w:r w:rsidR="000E36B8" w:rsidRPr="00A464CF">
              <w:rPr>
                <w:rFonts w:eastAsia="Times New Roman"/>
                <w:b/>
                <w:bCs/>
                <w:sz w:val="22"/>
                <w:szCs w:val="22"/>
              </w:rPr>
              <w:t>p</w:t>
            </w:r>
            <w:r w:rsidRPr="00A464CF">
              <w:rPr>
                <w:rFonts w:eastAsia="Times New Roman"/>
                <w:b/>
                <w:bCs/>
                <w:sz w:val="22"/>
                <w:szCs w:val="22"/>
              </w:rPr>
              <w:t>háp</w:t>
            </w:r>
          </w:p>
        </w:tc>
        <w:tc>
          <w:tcPr>
            <w:tcW w:w="7771" w:type="dxa"/>
            <w:shd w:val="clear" w:color="auto" w:fill="auto"/>
            <w:vAlign w:val="center"/>
            <w:hideMark/>
          </w:tcPr>
          <w:p w14:paraId="2EE55514" w14:textId="77777777" w:rsidR="000F6F29" w:rsidRPr="00A464CF" w:rsidRDefault="000F6F29" w:rsidP="007337A3">
            <w:pPr>
              <w:jc w:val="center"/>
              <w:rPr>
                <w:rFonts w:eastAsia="Times New Roman"/>
                <w:b/>
                <w:bCs/>
                <w:sz w:val="22"/>
                <w:szCs w:val="22"/>
              </w:rPr>
            </w:pPr>
            <w:r w:rsidRPr="00A464CF">
              <w:rPr>
                <w:rFonts w:eastAsia="Times New Roman"/>
                <w:b/>
                <w:bCs/>
                <w:sz w:val="22"/>
                <w:szCs w:val="22"/>
              </w:rPr>
              <w:t>Đánh giá sơ bộ kết quả thực hiện</w:t>
            </w:r>
          </w:p>
        </w:tc>
        <w:tc>
          <w:tcPr>
            <w:tcW w:w="1306" w:type="dxa"/>
            <w:shd w:val="clear" w:color="auto" w:fill="auto"/>
            <w:noWrap/>
            <w:vAlign w:val="center"/>
            <w:hideMark/>
          </w:tcPr>
          <w:p w14:paraId="2EFD9F22" w14:textId="77777777" w:rsidR="000F6F29" w:rsidRPr="00A464CF" w:rsidRDefault="000F6F29" w:rsidP="007337A3">
            <w:pPr>
              <w:rPr>
                <w:rFonts w:eastAsia="Times New Roman"/>
                <w:b/>
                <w:sz w:val="22"/>
                <w:szCs w:val="22"/>
              </w:rPr>
            </w:pPr>
            <w:r w:rsidRPr="00A464CF">
              <w:rPr>
                <w:rFonts w:eastAsia="Times New Roman"/>
                <w:b/>
                <w:sz w:val="22"/>
                <w:szCs w:val="22"/>
              </w:rPr>
              <w:t>Đánh giá</w:t>
            </w:r>
          </w:p>
        </w:tc>
      </w:tr>
      <w:tr w:rsidR="00A464CF" w:rsidRPr="00A464CF" w14:paraId="1A0B3EE8" w14:textId="77777777" w:rsidTr="00AA2D1A">
        <w:trPr>
          <w:trHeight w:val="450"/>
        </w:trPr>
        <w:tc>
          <w:tcPr>
            <w:tcW w:w="708" w:type="dxa"/>
            <w:shd w:val="clear" w:color="auto" w:fill="auto"/>
            <w:noWrap/>
            <w:vAlign w:val="center"/>
            <w:hideMark/>
          </w:tcPr>
          <w:p w14:paraId="5B91B26F" w14:textId="77777777" w:rsidR="000F6F29" w:rsidRPr="00A464CF" w:rsidRDefault="000F6F29" w:rsidP="007337A3">
            <w:pPr>
              <w:jc w:val="center"/>
              <w:rPr>
                <w:rFonts w:eastAsia="Times New Roman"/>
                <w:b/>
                <w:bCs/>
                <w:i/>
                <w:iCs/>
                <w:sz w:val="22"/>
                <w:szCs w:val="22"/>
              </w:rPr>
            </w:pPr>
            <w:r w:rsidRPr="00A464CF">
              <w:rPr>
                <w:rFonts w:eastAsia="Times New Roman"/>
                <w:b/>
                <w:bCs/>
                <w:i/>
                <w:iCs/>
                <w:sz w:val="22"/>
                <w:szCs w:val="22"/>
              </w:rPr>
              <w:t>I</w:t>
            </w:r>
          </w:p>
        </w:tc>
        <w:tc>
          <w:tcPr>
            <w:tcW w:w="14455" w:type="dxa"/>
            <w:gridSpan w:val="3"/>
            <w:shd w:val="clear" w:color="auto" w:fill="auto"/>
            <w:vAlign w:val="center"/>
            <w:hideMark/>
          </w:tcPr>
          <w:p w14:paraId="7F772D21" w14:textId="77777777" w:rsidR="000F6F29" w:rsidRPr="00A464CF" w:rsidRDefault="000F6F29" w:rsidP="007337A3">
            <w:pPr>
              <w:rPr>
                <w:rFonts w:eastAsia="Times New Roman"/>
                <w:b/>
                <w:bCs/>
                <w:i/>
                <w:iCs/>
                <w:sz w:val="22"/>
                <w:szCs w:val="22"/>
              </w:rPr>
            </w:pPr>
            <w:r w:rsidRPr="00A464CF">
              <w:rPr>
                <w:rFonts w:eastAsia="Times New Roman"/>
                <w:b/>
                <w:bCs/>
                <w:i/>
                <w:iCs/>
                <w:sz w:val="22"/>
                <w:szCs w:val="22"/>
              </w:rPr>
              <w:t>Nâng cao hiệu lực, hiệu quả điều hành kinh tế vĩ mô</w:t>
            </w:r>
          </w:p>
        </w:tc>
      </w:tr>
      <w:tr w:rsidR="00A464CF" w:rsidRPr="00A464CF" w14:paraId="76748814" w14:textId="77777777" w:rsidTr="00AA2D1A">
        <w:trPr>
          <w:trHeight w:val="2030"/>
        </w:trPr>
        <w:tc>
          <w:tcPr>
            <w:tcW w:w="708" w:type="dxa"/>
            <w:shd w:val="clear" w:color="auto" w:fill="auto"/>
            <w:noWrap/>
            <w:vAlign w:val="center"/>
            <w:hideMark/>
          </w:tcPr>
          <w:p w14:paraId="3C78FDC2" w14:textId="77777777" w:rsidR="000F6F29" w:rsidRPr="00A464CF" w:rsidRDefault="000F6F29" w:rsidP="007337A3">
            <w:pPr>
              <w:jc w:val="center"/>
              <w:rPr>
                <w:rFonts w:eastAsia="Times New Roman"/>
                <w:sz w:val="22"/>
                <w:szCs w:val="22"/>
              </w:rPr>
            </w:pPr>
            <w:r w:rsidRPr="00A464CF">
              <w:rPr>
                <w:rFonts w:eastAsia="Times New Roman"/>
                <w:sz w:val="22"/>
                <w:szCs w:val="22"/>
              </w:rPr>
              <w:t>1</w:t>
            </w:r>
          </w:p>
        </w:tc>
        <w:tc>
          <w:tcPr>
            <w:tcW w:w="5378" w:type="dxa"/>
            <w:shd w:val="clear" w:color="auto" w:fill="auto"/>
            <w:vAlign w:val="center"/>
            <w:hideMark/>
          </w:tcPr>
          <w:p w14:paraId="08ABCD27" w14:textId="77777777" w:rsidR="000F6F29" w:rsidRPr="00A464CF" w:rsidRDefault="000F6F29" w:rsidP="007337A3">
            <w:pPr>
              <w:jc w:val="both"/>
              <w:rPr>
                <w:rFonts w:eastAsia="Times New Roman"/>
                <w:sz w:val="22"/>
                <w:szCs w:val="22"/>
              </w:rPr>
            </w:pPr>
            <w:r w:rsidRPr="00A464CF">
              <w:rPr>
                <w:rFonts w:eastAsia="Times New Roman"/>
                <w:sz w:val="22"/>
                <w:szCs w:val="22"/>
              </w:rPr>
              <w:t>Phối hợp chặt chẽ, hiệu quả trong điều hành và thực hiện đồng bộ, linh hoạt các chính sách kinh tế vĩ mô để bảo đảm ổn định kinh tế vĩ mô, kiểm soát lạm phát, giữ vững các cân đối lớn của nền kinh tế; bảo đảm an ninh tài chính quốc gia</w:t>
            </w:r>
          </w:p>
        </w:tc>
        <w:tc>
          <w:tcPr>
            <w:tcW w:w="7771" w:type="dxa"/>
            <w:shd w:val="clear" w:color="auto" w:fill="auto"/>
            <w:vAlign w:val="center"/>
            <w:hideMark/>
          </w:tcPr>
          <w:p w14:paraId="41EA0432" w14:textId="02888D40" w:rsidR="000F6F29" w:rsidRPr="00A464CF" w:rsidRDefault="001C4535" w:rsidP="00413932">
            <w:pPr>
              <w:jc w:val="both"/>
              <w:rPr>
                <w:rFonts w:eastAsia="Times New Roman"/>
                <w:sz w:val="22"/>
                <w:szCs w:val="22"/>
              </w:rPr>
            </w:pPr>
            <w:r w:rsidRPr="00A464CF">
              <w:rPr>
                <w:rFonts w:eastAsia="Times New Roman"/>
                <w:spacing w:val="-2"/>
                <w:sz w:val="22"/>
                <w:szCs w:val="22"/>
                <w:lang w:eastAsia="en-US"/>
              </w:rPr>
              <w:t>Bộ Kế hoạch và Đầu tư, Bộ Tài chính, NHNN, Bộ Công Thương (</w:t>
            </w:r>
            <w:r w:rsidRPr="00A464CF">
              <w:rPr>
                <w:rFonts w:eastAsia="Calibri"/>
                <w:bCs/>
                <w:spacing w:val="-2"/>
                <w:sz w:val="22"/>
                <w:szCs w:val="22"/>
                <w:lang w:eastAsia="en-US"/>
              </w:rPr>
              <w:t xml:space="preserve">Công văn số 3881/BCT-TCNL ngày 5/5/2017; Công văn số 7716/BCT-TTTN ngày 23 tháng 8 năm 2017) </w:t>
            </w:r>
            <w:r w:rsidRPr="00A464CF">
              <w:rPr>
                <w:rFonts w:eastAsia="Times New Roman"/>
                <w:spacing w:val="-2"/>
                <w:sz w:val="22"/>
                <w:szCs w:val="22"/>
                <w:lang w:eastAsia="en-US"/>
              </w:rPr>
              <w:t>đã có sự phối hợp trong điều hành kinh tế vĩ mô. Đã có sự phối hợp chặt chẽ trong công tác dự báo và lập kế hoạch phát triển kinh tế- xã hội, tài chính ngân sách. Môi trường kinh tế vĩ mô được ổn định, lạm phát được kiểm soát ở mức dưới 4%; bội chi ngân sách đạt 3,5% GDP (theo Luật Ngân sách nhà nước 2015), đạt mục tiêu đề ra. Chính sách tài khóa và chính sách tiền tệ đã có sự gắn kết, thông qua việc trao đổi thông tin về thanh khoản của hệ thống TCTD, diễn biến lãi suất trên thị trường, cũng như các hoạt động phối hợp khác liên quan đến phát hành TPCP.</w:t>
            </w:r>
          </w:p>
        </w:tc>
        <w:tc>
          <w:tcPr>
            <w:tcW w:w="1306" w:type="dxa"/>
            <w:shd w:val="clear" w:color="auto" w:fill="auto"/>
            <w:vAlign w:val="center"/>
            <w:hideMark/>
          </w:tcPr>
          <w:p w14:paraId="49AFC064" w14:textId="77777777" w:rsidR="000F6F29" w:rsidRPr="00A464CF" w:rsidRDefault="000F6F29" w:rsidP="007337A3">
            <w:pPr>
              <w:rPr>
                <w:rFonts w:eastAsia="Times New Roman"/>
                <w:sz w:val="22"/>
                <w:szCs w:val="22"/>
              </w:rPr>
            </w:pPr>
            <w:r w:rsidRPr="00A464CF">
              <w:rPr>
                <w:rFonts w:eastAsia="Times New Roman"/>
                <w:sz w:val="22"/>
                <w:szCs w:val="22"/>
              </w:rPr>
              <w:t>Đã triển khai và có kết quả rõ ràng</w:t>
            </w:r>
          </w:p>
        </w:tc>
      </w:tr>
      <w:tr w:rsidR="00A464CF" w:rsidRPr="00A464CF" w14:paraId="6B9276B2" w14:textId="77777777" w:rsidTr="00AA2D1A">
        <w:trPr>
          <w:trHeight w:val="1513"/>
        </w:trPr>
        <w:tc>
          <w:tcPr>
            <w:tcW w:w="708" w:type="dxa"/>
            <w:shd w:val="clear" w:color="auto" w:fill="auto"/>
            <w:noWrap/>
            <w:vAlign w:val="center"/>
            <w:hideMark/>
          </w:tcPr>
          <w:p w14:paraId="6F95599B" w14:textId="77777777" w:rsidR="000F6F29" w:rsidRPr="00A464CF" w:rsidRDefault="000F6F29" w:rsidP="007337A3">
            <w:pPr>
              <w:jc w:val="center"/>
              <w:rPr>
                <w:rFonts w:eastAsia="Times New Roman"/>
                <w:sz w:val="22"/>
                <w:szCs w:val="22"/>
              </w:rPr>
            </w:pPr>
            <w:r w:rsidRPr="00A464CF">
              <w:rPr>
                <w:rFonts w:eastAsia="Times New Roman"/>
                <w:sz w:val="22"/>
                <w:szCs w:val="22"/>
              </w:rPr>
              <w:t>2</w:t>
            </w:r>
          </w:p>
        </w:tc>
        <w:tc>
          <w:tcPr>
            <w:tcW w:w="5378" w:type="dxa"/>
            <w:shd w:val="clear" w:color="auto" w:fill="auto"/>
            <w:vAlign w:val="center"/>
            <w:hideMark/>
          </w:tcPr>
          <w:p w14:paraId="4F9B7057" w14:textId="5E04E045" w:rsidR="000F6F29" w:rsidRPr="00A464CF" w:rsidRDefault="000F6F29" w:rsidP="007337A3">
            <w:pPr>
              <w:jc w:val="both"/>
              <w:rPr>
                <w:rFonts w:eastAsia="Times New Roman"/>
                <w:sz w:val="22"/>
                <w:szCs w:val="22"/>
              </w:rPr>
            </w:pPr>
            <w:r w:rsidRPr="00A464CF">
              <w:rPr>
                <w:rFonts w:eastAsia="Times New Roman"/>
                <w:sz w:val="22"/>
                <w:szCs w:val="22"/>
              </w:rPr>
              <w:t>Thực hiện chính sách tiền tệ chủ động, linh hoạt. Điều hành lãi suất, tỷ giá phù hợp với nguyên tắc thị trường, diễn biến kinh tế vĩ mô. Quản lý hiệu quả thị trường ngoại tệ, thị trường vàng; tăng dự trữ ngoại hối </w:t>
            </w:r>
            <w:r w:rsidR="00413932" w:rsidRPr="00A464CF">
              <w:rPr>
                <w:rFonts w:eastAsia="Times New Roman"/>
                <w:sz w:val="22"/>
                <w:szCs w:val="22"/>
              </w:rPr>
              <w:t>n</w:t>
            </w:r>
            <w:r w:rsidR="00F647DA" w:rsidRPr="00A464CF">
              <w:rPr>
                <w:rFonts w:eastAsia="Times New Roman"/>
                <w:sz w:val="22"/>
                <w:szCs w:val="22"/>
              </w:rPr>
              <w:t>hà nước</w:t>
            </w:r>
            <w:r w:rsidRPr="00A464CF">
              <w:rPr>
                <w:rFonts w:eastAsia="Times New Roman"/>
                <w:sz w:val="22"/>
                <w:szCs w:val="22"/>
              </w:rPr>
              <w:t xml:space="preserve"> phù hợp với điều kiện thực tế. Điều hành tín dụng phù hợp, chú trọng các lĩnh vực ưu tiên gắn với nâng cao chất lượng tín dụng</w:t>
            </w:r>
          </w:p>
        </w:tc>
        <w:tc>
          <w:tcPr>
            <w:tcW w:w="7771" w:type="dxa"/>
            <w:shd w:val="clear" w:color="auto" w:fill="auto"/>
            <w:vAlign w:val="center"/>
            <w:hideMark/>
          </w:tcPr>
          <w:p w14:paraId="0DAEC900" w14:textId="77777777" w:rsidR="001C4535" w:rsidRPr="00A464CF" w:rsidRDefault="001C4535" w:rsidP="001C4535">
            <w:pPr>
              <w:jc w:val="both"/>
              <w:rPr>
                <w:rFonts w:eastAsia="Times New Roman"/>
                <w:sz w:val="22"/>
                <w:szCs w:val="22"/>
              </w:rPr>
            </w:pPr>
            <w:r w:rsidRPr="00A464CF">
              <w:rPr>
                <w:rFonts w:eastAsia="Times New Roman"/>
                <w:sz w:val="22"/>
                <w:szCs w:val="22"/>
              </w:rPr>
              <w:t>NHNN đã chủ động điều hành  đồng bộ, linh hoạt các công cụ chính sách tiền tệ, trọng tâm là nghiệp vụ thị trường mở để giúp đảm bảo thanh khoản cho các tổ chức tín dụng, ổn định thị trường tiền tệ, tạo thuận lợi cho các TCTD giảm lãi suất cho vay và tăng cường khả năng cung ứng tín dụng cho nền kinh tế.</w:t>
            </w:r>
          </w:p>
          <w:p w14:paraId="0561D03A" w14:textId="77777777" w:rsidR="001C4535" w:rsidRPr="00A464CF" w:rsidRDefault="001C4535" w:rsidP="001C4535">
            <w:pPr>
              <w:jc w:val="both"/>
              <w:rPr>
                <w:rFonts w:eastAsia="Times New Roman"/>
                <w:sz w:val="22"/>
                <w:szCs w:val="22"/>
              </w:rPr>
            </w:pPr>
            <w:r w:rsidRPr="00A464CF">
              <w:rPr>
                <w:rFonts w:eastAsia="Times New Roman"/>
                <w:sz w:val="22"/>
                <w:szCs w:val="22"/>
              </w:rPr>
              <w:t>- Lạm phát giảm từ 7,65% bình quân giai đoạn 2011-2015 xuống 3,12% bình quân giai đoạn 2016-2019, năm 2018 là 3,54%, năm 2019 là 2,79%, năm 2019 lạm phát tiếp tục được kiểm soát ở mức thấp ước đạt 2,7-2,8% (vượt kế hoạch đặt ra). Lạm phát cơ bản bình quân cũng được duy trì ở mức thấp, năm 2017 và 2018 lần lượt là 1,41% và 1,48%; năm 2019 là 2,01%; 11 tháng đầu năm 2020 tỷ lệ lạm phát cơ bản bình quân tăng 2,43% so với bình quân cùng kỳ năm 2019; bình quân giai đoạn 2016-2020 dự báo đạt 1,81%, giảm mạnh so với giai đoạn 2011-2015 là 5,15%. Chỉ số giá tiêu dùng (CPI) bình quân 11 tháng năm 2020 chỉ tăng 3,51% so với cùng kỳ năm trước; bình quân giai đoạn 2016-2020 ước đạt dưới 4% (trong phạm vi mục tiêu đề ra là dưới 4%).</w:t>
            </w:r>
          </w:p>
          <w:p w14:paraId="147DFB03" w14:textId="77777777" w:rsidR="001C4535" w:rsidRPr="00A464CF" w:rsidRDefault="001C4535" w:rsidP="001C4535">
            <w:pPr>
              <w:jc w:val="both"/>
              <w:rPr>
                <w:rFonts w:eastAsia="Times New Roman"/>
                <w:sz w:val="22"/>
                <w:szCs w:val="22"/>
              </w:rPr>
            </w:pPr>
            <w:r w:rsidRPr="00A464CF">
              <w:rPr>
                <w:rFonts w:eastAsia="Times New Roman"/>
                <w:sz w:val="22"/>
                <w:szCs w:val="22"/>
              </w:rPr>
              <w:t xml:space="preserve">- Tăng trưởng tín dụng được kiểm soát phù hợp với chỉ tiêu định hướng, đi đôi với nâng cao chất lượng tín dụng, góp phần cải thiện tăng trưởng GDP. Mức tăng trưởng tín dụng và tăng trưởng GDP năm 2016 lần lượt là 18,25% và 6,21%; năm 2017 là 18,28% và 6,81%; năm 2018 là 13,89% và 7,08%; năm 2019 đạt 13,65% và 7,02%. Cơ cấu tín dụng tiếp tục có sự điều chỉnh tích cực, tín dụng tập trung vào các lĩnh vực sản xuất kinh doanh, lĩnh vực ưu tiên theo chủ trương của Chính phủ, tín dụng đối với các lĩnh vực tiềm ẩn rủi ro cao trong tầm kiểm soát. Tín dụng ngoại tệ được kiểm soát </w:t>
            </w:r>
            <w:r w:rsidRPr="00A464CF">
              <w:rPr>
                <w:rFonts w:eastAsia="Times New Roman"/>
                <w:sz w:val="22"/>
                <w:szCs w:val="22"/>
              </w:rPr>
              <w:lastRenderedPageBreak/>
              <w:t>phù hợp với lộ trình hạn chế đô la hóa trong nền kinh tế, thúc đẩy lành mạnh hóa hệ thống ngân hàng.</w:t>
            </w:r>
          </w:p>
          <w:p w14:paraId="40135D61" w14:textId="77777777" w:rsidR="001C4535" w:rsidRPr="00A464CF" w:rsidRDefault="001C4535" w:rsidP="001C4535">
            <w:pPr>
              <w:jc w:val="both"/>
              <w:rPr>
                <w:rFonts w:eastAsia="Times New Roman"/>
                <w:sz w:val="22"/>
                <w:szCs w:val="22"/>
              </w:rPr>
            </w:pPr>
            <w:r w:rsidRPr="00A464CF">
              <w:rPr>
                <w:rFonts w:eastAsia="Times New Roman"/>
                <w:sz w:val="22"/>
                <w:szCs w:val="22"/>
              </w:rPr>
              <w:t xml:space="preserve">- Thanh khoản cho các TCTD được đảm bảo; Mặt bằng lãi suất về cơ bản duy trì ổn định và hiện đang có xu hướng giảm . Lãi suất cho vay của Việt Nam hiện ở mức trung bình so với mặt bằng của các nước có trình độ phát triển tương đồng trong khu vực. </w:t>
            </w:r>
          </w:p>
          <w:p w14:paraId="19319C24" w14:textId="41F217DE" w:rsidR="000F6F29" w:rsidRPr="00A464CF" w:rsidRDefault="001C4535" w:rsidP="001C4535">
            <w:pPr>
              <w:jc w:val="both"/>
              <w:rPr>
                <w:rFonts w:eastAsia="Times New Roman"/>
                <w:sz w:val="22"/>
                <w:szCs w:val="22"/>
              </w:rPr>
            </w:pPr>
            <w:r w:rsidRPr="00A464CF">
              <w:rPr>
                <w:rFonts w:eastAsia="Times New Roman"/>
                <w:sz w:val="22"/>
                <w:szCs w:val="22"/>
              </w:rPr>
              <w:t>Tỷ giá và thị trường ngoại tệ về cơ bản ổn định, tâm lý thị trường được củng cố, cân đối cung, cầu khá thuận lợi, thanh khoản thông suốt. Tỷ giá trung tâm các năm 2016-2019 và đến ngày 25/11/2020 lần lượt tăng 1,23%; 1,2%; 1,78%; 1,45% và 0,04% so với cuối năm trước; tỷ giá bình quân liên ngân hàng lần lượt tăng 1,2%; giảm 0,25%; tăng 2,16%; giảm 0,12% và giảm 0,04% so với cuối năm trước. Đồng Việt Nam ổn định hơn so với đồng tiền của nhiều đối tác thương mại. Dự trữ ngoại hối đạt mức cao kỷ lục</w:t>
            </w:r>
          </w:p>
        </w:tc>
        <w:tc>
          <w:tcPr>
            <w:tcW w:w="1306" w:type="dxa"/>
            <w:shd w:val="clear" w:color="auto" w:fill="auto"/>
            <w:vAlign w:val="center"/>
            <w:hideMark/>
          </w:tcPr>
          <w:p w14:paraId="1F3FBF16" w14:textId="77777777" w:rsidR="000F6F29" w:rsidRPr="00A464CF" w:rsidRDefault="000F6F29" w:rsidP="007337A3">
            <w:pPr>
              <w:rPr>
                <w:rFonts w:eastAsia="Times New Roman"/>
                <w:sz w:val="22"/>
                <w:szCs w:val="22"/>
              </w:rPr>
            </w:pPr>
            <w:r w:rsidRPr="00A464CF">
              <w:rPr>
                <w:rFonts w:eastAsia="Times New Roman"/>
                <w:sz w:val="22"/>
                <w:szCs w:val="22"/>
              </w:rPr>
              <w:lastRenderedPageBreak/>
              <w:t>Đã triển khai và có kết quả rõ ràng</w:t>
            </w:r>
          </w:p>
        </w:tc>
      </w:tr>
      <w:tr w:rsidR="00A464CF" w:rsidRPr="00A464CF" w14:paraId="23E5189A" w14:textId="77777777" w:rsidTr="00AA2D1A">
        <w:trPr>
          <w:trHeight w:val="675"/>
        </w:trPr>
        <w:tc>
          <w:tcPr>
            <w:tcW w:w="708" w:type="dxa"/>
            <w:shd w:val="clear" w:color="auto" w:fill="auto"/>
            <w:noWrap/>
            <w:vAlign w:val="center"/>
            <w:hideMark/>
          </w:tcPr>
          <w:p w14:paraId="6CE08458" w14:textId="77777777" w:rsidR="000F6F29" w:rsidRPr="00A464CF" w:rsidRDefault="000F6F29" w:rsidP="007337A3">
            <w:pPr>
              <w:jc w:val="center"/>
              <w:rPr>
                <w:rFonts w:eastAsia="Times New Roman"/>
                <w:sz w:val="22"/>
                <w:szCs w:val="22"/>
              </w:rPr>
            </w:pPr>
            <w:r w:rsidRPr="00A464CF">
              <w:rPr>
                <w:rFonts w:eastAsia="Times New Roman"/>
                <w:sz w:val="22"/>
                <w:szCs w:val="22"/>
              </w:rPr>
              <w:lastRenderedPageBreak/>
              <w:t>3</w:t>
            </w:r>
          </w:p>
        </w:tc>
        <w:tc>
          <w:tcPr>
            <w:tcW w:w="5378" w:type="dxa"/>
            <w:shd w:val="clear" w:color="auto" w:fill="auto"/>
            <w:vAlign w:val="center"/>
            <w:hideMark/>
          </w:tcPr>
          <w:p w14:paraId="7C422391" w14:textId="77777777" w:rsidR="000F6F29" w:rsidRPr="00A464CF" w:rsidRDefault="000F6F29" w:rsidP="007337A3">
            <w:pPr>
              <w:jc w:val="both"/>
              <w:rPr>
                <w:rFonts w:eastAsia="Times New Roman"/>
                <w:sz w:val="22"/>
                <w:szCs w:val="22"/>
              </w:rPr>
            </w:pPr>
            <w:r w:rsidRPr="00A464CF">
              <w:rPr>
                <w:rFonts w:eastAsia="Times New Roman"/>
                <w:sz w:val="22"/>
                <w:szCs w:val="22"/>
              </w:rPr>
              <w:t>Xây dựng Đề án chống đô la hóa và vàng hóa trong nền kinh tế trong năm 2017</w:t>
            </w:r>
          </w:p>
        </w:tc>
        <w:tc>
          <w:tcPr>
            <w:tcW w:w="7771" w:type="dxa"/>
            <w:shd w:val="clear" w:color="auto" w:fill="auto"/>
            <w:vAlign w:val="center"/>
            <w:hideMark/>
          </w:tcPr>
          <w:p w14:paraId="105B7EC5" w14:textId="77777777" w:rsidR="000F6F29" w:rsidRPr="00A464CF" w:rsidRDefault="000F6F29" w:rsidP="007337A3">
            <w:pPr>
              <w:jc w:val="both"/>
              <w:rPr>
                <w:rFonts w:eastAsia="Times New Roman"/>
                <w:sz w:val="22"/>
                <w:szCs w:val="22"/>
              </w:rPr>
            </w:pPr>
            <w:r w:rsidRPr="00A464CF">
              <w:rPr>
                <w:rFonts w:eastAsia="Times New Roman"/>
                <w:sz w:val="22"/>
                <w:szCs w:val="22"/>
              </w:rPr>
              <w:t>Đã thực hiện</w:t>
            </w:r>
          </w:p>
        </w:tc>
        <w:tc>
          <w:tcPr>
            <w:tcW w:w="1306" w:type="dxa"/>
            <w:shd w:val="clear" w:color="auto" w:fill="auto"/>
            <w:vAlign w:val="center"/>
            <w:hideMark/>
          </w:tcPr>
          <w:p w14:paraId="211B003E" w14:textId="77777777" w:rsidR="000F6F29" w:rsidRPr="00A464CF" w:rsidRDefault="000F6F29" w:rsidP="007337A3">
            <w:pPr>
              <w:rPr>
                <w:rFonts w:eastAsia="Times New Roman"/>
                <w:sz w:val="22"/>
                <w:szCs w:val="22"/>
              </w:rPr>
            </w:pPr>
            <w:r w:rsidRPr="00A464CF">
              <w:rPr>
                <w:rFonts w:eastAsia="Times New Roman"/>
                <w:sz w:val="22"/>
                <w:szCs w:val="22"/>
              </w:rPr>
              <w:t>Đã triển khai và có kết quả rõ ràng</w:t>
            </w:r>
          </w:p>
        </w:tc>
      </w:tr>
      <w:tr w:rsidR="00A464CF" w:rsidRPr="00A464CF" w14:paraId="4CB1F9CB" w14:textId="77777777" w:rsidTr="00AA2D1A">
        <w:trPr>
          <w:trHeight w:val="1328"/>
        </w:trPr>
        <w:tc>
          <w:tcPr>
            <w:tcW w:w="708" w:type="dxa"/>
            <w:shd w:val="clear" w:color="auto" w:fill="auto"/>
            <w:noWrap/>
            <w:vAlign w:val="center"/>
            <w:hideMark/>
          </w:tcPr>
          <w:p w14:paraId="26ED89C3" w14:textId="77777777" w:rsidR="000F6F29" w:rsidRPr="00A464CF" w:rsidRDefault="000F6F29" w:rsidP="007337A3">
            <w:pPr>
              <w:jc w:val="center"/>
              <w:rPr>
                <w:rFonts w:eastAsia="Times New Roman"/>
                <w:sz w:val="22"/>
                <w:szCs w:val="22"/>
              </w:rPr>
            </w:pPr>
            <w:r w:rsidRPr="00A464CF">
              <w:rPr>
                <w:rFonts w:eastAsia="Times New Roman"/>
                <w:sz w:val="22"/>
                <w:szCs w:val="22"/>
              </w:rPr>
              <w:t>4</w:t>
            </w:r>
          </w:p>
        </w:tc>
        <w:tc>
          <w:tcPr>
            <w:tcW w:w="5378" w:type="dxa"/>
            <w:shd w:val="clear" w:color="auto" w:fill="auto"/>
            <w:vAlign w:val="center"/>
            <w:hideMark/>
          </w:tcPr>
          <w:p w14:paraId="01CAD210" w14:textId="6BF0FF34" w:rsidR="000F6F29" w:rsidRPr="00A464CF" w:rsidRDefault="000F6F29" w:rsidP="00413932">
            <w:pPr>
              <w:jc w:val="both"/>
              <w:rPr>
                <w:rFonts w:eastAsia="Times New Roman"/>
                <w:spacing w:val="-4"/>
                <w:sz w:val="22"/>
                <w:szCs w:val="22"/>
              </w:rPr>
            </w:pPr>
            <w:r w:rsidRPr="00A464CF">
              <w:rPr>
                <w:rFonts w:eastAsia="Times New Roman"/>
                <w:spacing w:val="-4"/>
                <w:sz w:val="22"/>
                <w:szCs w:val="22"/>
              </w:rPr>
              <w:t xml:space="preserve">Thực hiện nghiêm kỷ luật, kỷ cương thu, chi ngân sách ở tất cả các cấp, ngành, địa phương và đơn vị; chỉ được chi trong giới hạn dự toán chi ngân sách; cơ cấu lại chi ngân sách </w:t>
            </w:r>
            <w:r w:rsidR="00413932" w:rsidRPr="00A464CF">
              <w:rPr>
                <w:rFonts w:eastAsia="Times New Roman"/>
                <w:spacing w:val="-4"/>
                <w:sz w:val="22"/>
                <w:szCs w:val="22"/>
              </w:rPr>
              <w:t>n</w:t>
            </w:r>
            <w:r w:rsidR="00F647DA" w:rsidRPr="00A464CF">
              <w:rPr>
                <w:rFonts w:eastAsia="Times New Roman"/>
                <w:spacing w:val="-4"/>
                <w:sz w:val="22"/>
                <w:szCs w:val="22"/>
              </w:rPr>
              <w:t>hà nước</w:t>
            </w:r>
            <w:r w:rsidRPr="00A464CF">
              <w:rPr>
                <w:rFonts w:eastAsia="Times New Roman"/>
                <w:spacing w:val="-4"/>
                <w:sz w:val="22"/>
                <w:szCs w:val="22"/>
              </w:rPr>
              <w:t xml:space="preserve"> ở từng ngành, địa phương và đơn vị cơ sở theo hướng tiết kiệm, loại bỏ các khoản mục chi chưa cần thiết, nâng cao hiệu quả từng khoản mục chi; giảm dần tỷ trọng chi thường xuyên, bố trí hợp lý cho chi đầu tư phát triển, đảm bảo chiếm khoảng 25% - 26% tổng chi ngân sách </w:t>
            </w:r>
            <w:r w:rsidR="00413932" w:rsidRPr="00A464CF">
              <w:rPr>
                <w:rFonts w:eastAsia="Times New Roman"/>
                <w:spacing w:val="-4"/>
                <w:sz w:val="22"/>
                <w:szCs w:val="22"/>
              </w:rPr>
              <w:t>n</w:t>
            </w:r>
            <w:r w:rsidR="00F647DA" w:rsidRPr="00A464CF">
              <w:rPr>
                <w:rFonts w:eastAsia="Times New Roman"/>
                <w:spacing w:val="-4"/>
                <w:sz w:val="22"/>
                <w:szCs w:val="22"/>
              </w:rPr>
              <w:t>hà nước</w:t>
            </w:r>
          </w:p>
        </w:tc>
        <w:tc>
          <w:tcPr>
            <w:tcW w:w="7771" w:type="dxa"/>
            <w:shd w:val="clear" w:color="auto" w:fill="auto"/>
            <w:vAlign w:val="center"/>
            <w:hideMark/>
          </w:tcPr>
          <w:p w14:paraId="5CE96995" w14:textId="77777777" w:rsidR="000F6F29" w:rsidRPr="00A464CF" w:rsidRDefault="000F6F29" w:rsidP="007337A3">
            <w:pPr>
              <w:jc w:val="both"/>
              <w:rPr>
                <w:rFonts w:eastAsia="Times New Roman"/>
                <w:sz w:val="22"/>
                <w:szCs w:val="22"/>
              </w:rPr>
            </w:pPr>
            <w:r w:rsidRPr="00A464CF">
              <w:rPr>
                <w:rFonts w:eastAsia="Times New Roman"/>
                <w:sz w:val="22"/>
                <w:szCs w:val="22"/>
              </w:rPr>
              <w:t>Kỷ luật, kỷ cương thu, chi ngân sách được nâng cao thông qua việc tăng cường công tác thanh tra, kiểm tra, hướng dẫn chi ngân sách, kiểm soát chi ngân sách, đảm bảo đúng mục đích, hiệu quả, thu hồi các khoản chi chậm thực hiện; đẩy mạnh tiết kiệm chi ngân sách, cắt giảm tối đa các khoản chi không cần thiết.</w:t>
            </w:r>
          </w:p>
        </w:tc>
        <w:tc>
          <w:tcPr>
            <w:tcW w:w="1306" w:type="dxa"/>
            <w:shd w:val="clear" w:color="auto" w:fill="auto"/>
            <w:vAlign w:val="center"/>
            <w:hideMark/>
          </w:tcPr>
          <w:p w14:paraId="018454B3" w14:textId="77777777" w:rsidR="000F6F29" w:rsidRPr="00A464CF" w:rsidRDefault="000F6F29" w:rsidP="007337A3">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6A1C1151" w14:textId="77777777" w:rsidTr="00AA2D1A">
        <w:trPr>
          <w:trHeight w:val="2152"/>
        </w:trPr>
        <w:tc>
          <w:tcPr>
            <w:tcW w:w="708" w:type="dxa"/>
            <w:shd w:val="clear" w:color="auto" w:fill="auto"/>
            <w:noWrap/>
            <w:vAlign w:val="center"/>
            <w:hideMark/>
          </w:tcPr>
          <w:p w14:paraId="62C8C560" w14:textId="77777777" w:rsidR="000F6F29" w:rsidRPr="00A464CF" w:rsidRDefault="000F6F29" w:rsidP="007337A3">
            <w:pPr>
              <w:jc w:val="center"/>
              <w:rPr>
                <w:rFonts w:eastAsia="Times New Roman"/>
                <w:sz w:val="22"/>
                <w:szCs w:val="22"/>
              </w:rPr>
            </w:pPr>
            <w:r w:rsidRPr="00A464CF">
              <w:rPr>
                <w:rFonts w:eastAsia="Times New Roman"/>
                <w:sz w:val="22"/>
                <w:szCs w:val="22"/>
              </w:rPr>
              <w:t>5</w:t>
            </w:r>
          </w:p>
        </w:tc>
        <w:tc>
          <w:tcPr>
            <w:tcW w:w="5378" w:type="dxa"/>
            <w:shd w:val="clear" w:color="auto" w:fill="auto"/>
            <w:vAlign w:val="center"/>
            <w:hideMark/>
          </w:tcPr>
          <w:p w14:paraId="4B48D701" w14:textId="6252C933" w:rsidR="000F6F29" w:rsidRPr="00A464CF" w:rsidRDefault="000F6F29" w:rsidP="00413932">
            <w:pPr>
              <w:jc w:val="both"/>
              <w:rPr>
                <w:rFonts w:eastAsia="Times New Roman"/>
                <w:sz w:val="22"/>
                <w:szCs w:val="22"/>
              </w:rPr>
            </w:pPr>
            <w:r w:rsidRPr="00A464CF">
              <w:rPr>
                <w:rFonts w:eastAsia="Times New Roman"/>
                <w:sz w:val="22"/>
                <w:szCs w:val="22"/>
              </w:rPr>
              <w:t xml:space="preserve">Triển khai có hiệu quả các quy định về đổi mới quản lý ngân sách </w:t>
            </w:r>
            <w:r w:rsidR="00413932" w:rsidRPr="00A464CF">
              <w:rPr>
                <w:rFonts w:eastAsia="Times New Roman"/>
                <w:sz w:val="22"/>
                <w:szCs w:val="22"/>
              </w:rPr>
              <w:t>n</w:t>
            </w:r>
            <w:r w:rsidR="00F647DA" w:rsidRPr="00A464CF">
              <w:rPr>
                <w:rFonts w:eastAsia="Times New Roman"/>
                <w:sz w:val="22"/>
                <w:szCs w:val="22"/>
              </w:rPr>
              <w:t>hà nước</w:t>
            </w:r>
            <w:r w:rsidRPr="00A464CF">
              <w:rPr>
                <w:rFonts w:eastAsia="Times New Roman"/>
                <w:sz w:val="22"/>
                <w:szCs w:val="22"/>
              </w:rPr>
              <w:t xml:space="preserve"> theo Luật Ngân sách </w:t>
            </w:r>
            <w:r w:rsidR="00413932" w:rsidRPr="00A464CF">
              <w:rPr>
                <w:rFonts w:eastAsia="Times New Roman"/>
                <w:sz w:val="22"/>
                <w:szCs w:val="22"/>
              </w:rPr>
              <w:t>n</w:t>
            </w:r>
            <w:r w:rsidR="00F647DA" w:rsidRPr="00A464CF">
              <w:rPr>
                <w:rFonts w:eastAsia="Times New Roman"/>
                <w:sz w:val="22"/>
                <w:szCs w:val="22"/>
              </w:rPr>
              <w:t>hà nước</w:t>
            </w:r>
            <w:r w:rsidRPr="00A464CF">
              <w:rPr>
                <w:rFonts w:eastAsia="Times New Roman"/>
                <w:sz w:val="22"/>
                <w:szCs w:val="22"/>
              </w:rPr>
              <w:t xml:space="preserve"> năm 2015</w:t>
            </w:r>
          </w:p>
        </w:tc>
        <w:tc>
          <w:tcPr>
            <w:tcW w:w="7771" w:type="dxa"/>
            <w:shd w:val="clear" w:color="auto" w:fill="auto"/>
            <w:vAlign w:val="center"/>
            <w:hideMark/>
          </w:tcPr>
          <w:p w14:paraId="446D271E" w14:textId="2C102203" w:rsidR="000F6F29" w:rsidRPr="00A464CF" w:rsidRDefault="000F6F29" w:rsidP="007337A3">
            <w:pPr>
              <w:jc w:val="both"/>
              <w:rPr>
                <w:rFonts w:eastAsia="Times New Roman"/>
                <w:sz w:val="22"/>
                <w:szCs w:val="22"/>
              </w:rPr>
            </w:pPr>
            <w:r w:rsidRPr="00A464CF">
              <w:rPr>
                <w:rFonts w:eastAsia="Times New Roman"/>
                <w:sz w:val="22"/>
                <w:szCs w:val="22"/>
              </w:rPr>
              <w:t>Bộ Tài chính đã ban hành nhiều văn bản quy định chi tiết và hướng dẫn thi hành Luật NSNN 2015. Cùng với việc ban hành văn bản hướng dẫn tổ chức thực hiện dự toán NSNN 2017, Bộ Tài chính đã hoàn thành việc giao nhiệm vụ thu, chi NSNN đúng thời hạn, tạo điều kiện cho các Bộ, cơ quan, địa phương kịp thời quyết định, phân bổ, giao dự toán ngân sách đến các đơn vị sử dụng ngân sách.Tuy nhiên, Việc giao dự toán cho một số địa phương vượt quá khả năng thực hiện và hụt thu NSTW vẫn tiếp diễn trong năm ngân sách. Tình trạng chi sai chế độ, sử dụng sai nguồn kinh phí ở các đơn vị sử dụng ngân sách, các chủ đầu tư và cả trong điều hành ngân sách vẫn tái diễn.</w:t>
            </w:r>
          </w:p>
        </w:tc>
        <w:tc>
          <w:tcPr>
            <w:tcW w:w="1306" w:type="dxa"/>
            <w:shd w:val="clear" w:color="auto" w:fill="auto"/>
            <w:vAlign w:val="center"/>
            <w:hideMark/>
          </w:tcPr>
          <w:p w14:paraId="2A827700" w14:textId="77777777" w:rsidR="000F6F29" w:rsidRPr="00A464CF" w:rsidRDefault="000F6F29" w:rsidP="007337A3">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2F04DB72" w14:textId="77777777" w:rsidTr="00AA2D1A">
        <w:trPr>
          <w:trHeight w:val="400"/>
        </w:trPr>
        <w:tc>
          <w:tcPr>
            <w:tcW w:w="708" w:type="dxa"/>
            <w:shd w:val="clear" w:color="auto" w:fill="auto"/>
            <w:noWrap/>
            <w:vAlign w:val="center"/>
            <w:hideMark/>
          </w:tcPr>
          <w:p w14:paraId="51D133DB" w14:textId="77777777" w:rsidR="000F6F29" w:rsidRPr="00A464CF" w:rsidRDefault="000F6F29" w:rsidP="007337A3">
            <w:pPr>
              <w:jc w:val="center"/>
              <w:rPr>
                <w:rFonts w:eastAsia="Times New Roman"/>
                <w:sz w:val="22"/>
                <w:szCs w:val="22"/>
              </w:rPr>
            </w:pPr>
            <w:r w:rsidRPr="00A464CF">
              <w:rPr>
                <w:rFonts w:eastAsia="Times New Roman"/>
                <w:sz w:val="22"/>
                <w:szCs w:val="22"/>
              </w:rPr>
              <w:t>6</w:t>
            </w:r>
          </w:p>
        </w:tc>
        <w:tc>
          <w:tcPr>
            <w:tcW w:w="5378" w:type="dxa"/>
            <w:shd w:val="clear" w:color="auto" w:fill="auto"/>
            <w:vAlign w:val="center"/>
            <w:hideMark/>
          </w:tcPr>
          <w:p w14:paraId="61BF33D2" w14:textId="3685B96D" w:rsidR="000F6F29" w:rsidRPr="00A464CF" w:rsidRDefault="000F6F29" w:rsidP="007337A3">
            <w:pPr>
              <w:jc w:val="both"/>
              <w:rPr>
                <w:rFonts w:eastAsia="Times New Roman"/>
                <w:spacing w:val="-6"/>
                <w:sz w:val="22"/>
                <w:szCs w:val="22"/>
              </w:rPr>
            </w:pPr>
            <w:r w:rsidRPr="00A464CF">
              <w:rPr>
                <w:rFonts w:eastAsia="Times New Roman"/>
                <w:spacing w:val="-6"/>
                <w:sz w:val="22"/>
                <w:szCs w:val="22"/>
              </w:rPr>
              <w:t xml:space="preserve">Tổ chức thực hiện kế hoạch vay, trả nợ công giai đoạn 2016 - 2020; tăng cường quản lý nhằm nâng cao hiệu quả sử dụng nợ công. Tiếp tục cơ cấu lại nợ công, tăng dần tỷ trọng cho vay lại trong cơ cấu vốn vay ODA, vay ưu đãi nước ngoài của Chính </w:t>
            </w:r>
            <w:r w:rsidRPr="00A464CF">
              <w:rPr>
                <w:rFonts w:eastAsia="Times New Roman"/>
                <w:spacing w:val="-6"/>
                <w:sz w:val="22"/>
                <w:szCs w:val="22"/>
              </w:rPr>
              <w:lastRenderedPageBreak/>
              <w:t xml:space="preserve">phủ; hạn chế tối đa cấp bảo lãnh chính phủ cho các khoản vay mới, khống chế hạn mức bảo lãnh cho 02 ngân hàng chính sách tối đa bằng nghĩa vụ trả nợ gốc hàng năm và kiểm soát chặt chẽ vay nước ngoài của các doanh nghiệp </w:t>
            </w:r>
            <w:r w:rsidR="00413932" w:rsidRPr="00A464CF">
              <w:rPr>
                <w:rFonts w:eastAsia="Times New Roman"/>
                <w:spacing w:val="-6"/>
                <w:sz w:val="22"/>
                <w:szCs w:val="22"/>
              </w:rPr>
              <w:t>n</w:t>
            </w:r>
            <w:r w:rsidR="00F647DA" w:rsidRPr="00A464CF">
              <w:rPr>
                <w:rFonts w:eastAsia="Times New Roman"/>
                <w:spacing w:val="-6"/>
                <w:sz w:val="22"/>
                <w:szCs w:val="22"/>
              </w:rPr>
              <w:t>hà nước</w:t>
            </w:r>
            <w:r w:rsidRPr="00A464CF">
              <w:rPr>
                <w:rFonts w:eastAsia="Times New Roman"/>
                <w:spacing w:val="-6"/>
                <w:sz w:val="22"/>
                <w:szCs w:val="22"/>
              </w:rPr>
              <w:t>. Kiểm soát nợ trong giới hạn cho phép theo Nghị quyết của Quốc hội và kiểm soát chặt chẽ các khoản vay của chính quyền địa phương và các quỹ đầu tư có nguồn gốc từ ngân sách. Tăng cường các biện pháp bảo đảm an ninh tài chính quốc gia</w:t>
            </w:r>
          </w:p>
        </w:tc>
        <w:tc>
          <w:tcPr>
            <w:tcW w:w="7771" w:type="dxa"/>
            <w:shd w:val="clear" w:color="auto" w:fill="auto"/>
            <w:vAlign w:val="center"/>
            <w:hideMark/>
          </w:tcPr>
          <w:p w14:paraId="7F33E244" w14:textId="01F599E5" w:rsidR="000F6F29" w:rsidRPr="00A464CF" w:rsidRDefault="000F6F29" w:rsidP="007337A3">
            <w:pPr>
              <w:jc w:val="both"/>
              <w:rPr>
                <w:rFonts w:eastAsia="Times New Roman"/>
                <w:sz w:val="22"/>
                <w:szCs w:val="22"/>
              </w:rPr>
            </w:pPr>
            <w:r w:rsidRPr="00A464CF">
              <w:rPr>
                <w:rFonts w:eastAsia="Times New Roman"/>
                <w:sz w:val="22"/>
                <w:szCs w:val="22"/>
              </w:rPr>
              <w:lastRenderedPageBreak/>
              <w:t xml:space="preserve">Quản lý nợ công được thực hiện tích cực, chủ động. Bộ Tài chính đã xây dựng Đề án tái cơ cấu nợ Chính phủ trong nước giai đoạn 2017-2020. Các nghiệp vụ thị trường được đa dạng hóa; tập trung phát hành TPCP có kỳ hạn dài, nâng kỳ hạn vay trung bình TPCP hàng năm lên mức 6-7 năm trong giai đoạn 2017-2020; thực hiện tái cấu </w:t>
            </w:r>
            <w:r w:rsidRPr="00A464CF">
              <w:rPr>
                <w:rFonts w:eastAsia="Times New Roman"/>
                <w:sz w:val="22"/>
                <w:szCs w:val="22"/>
              </w:rPr>
              <w:lastRenderedPageBreak/>
              <w:t>trúc danh mục TPCP theo hướng tập trung phát hành trái phiếu lô lớn, kỳ hạn dài, cải thiện danh mục TPCP theo hướng an toàn, bền vững, đảm bảo an ninh nền tài chính quốc gia</w:t>
            </w:r>
            <w:r w:rsidR="00FD5638" w:rsidRPr="00A464CF">
              <w:rPr>
                <w:rFonts w:eastAsia="Times New Roman"/>
                <w:sz w:val="22"/>
                <w:szCs w:val="22"/>
              </w:rPr>
              <w:t xml:space="preserve">, </w:t>
            </w:r>
            <w:r w:rsidRPr="00A464CF">
              <w:rPr>
                <w:rFonts w:eastAsia="Times New Roman"/>
                <w:sz w:val="22"/>
                <w:szCs w:val="22"/>
              </w:rPr>
              <w:t xml:space="preserve"> </w:t>
            </w:r>
            <w:r w:rsidR="00FD5638" w:rsidRPr="00A464CF">
              <w:rPr>
                <w:rFonts w:eastAsia="Times New Roman"/>
                <w:sz w:val="22"/>
                <w:szCs w:val="22"/>
              </w:rPr>
              <w:t>đủ chi phí hợp lý, đặc biệt trong lĩnh vực giáo dục- đào tạo (Bộ Giáo dục Đào tạo và Bộ Lao động, Thương binh và Xã hội), y tế (Bộ Y tế)</w:t>
            </w:r>
          </w:p>
        </w:tc>
        <w:tc>
          <w:tcPr>
            <w:tcW w:w="1306" w:type="dxa"/>
            <w:shd w:val="clear" w:color="auto" w:fill="auto"/>
            <w:vAlign w:val="center"/>
            <w:hideMark/>
          </w:tcPr>
          <w:p w14:paraId="047C48E3" w14:textId="77777777" w:rsidR="000F6F29" w:rsidRPr="00A464CF" w:rsidRDefault="000F6F29" w:rsidP="007337A3">
            <w:pPr>
              <w:rPr>
                <w:rFonts w:eastAsia="Times New Roman"/>
                <w:sz w:val="22"/>
                <w:szCs w:val="22"/>
              </w:rPr>
            </w:pPr>
            <w:r w:rsidRPr="00A464CF">
              <w:rPr>
                <w:rFonts w:eastAsia="Times New Roman"/>
                <w:sz w:val="22"/>
                <w:szCs w:val="22"/>
              </w:rPr>
              <w:lastRenderedPageBreak/>
              <w:t>Đã triển khai và có kết quả bước đ</w:t>
            </w:r>
            <w:bookmarkStart w:id="0" w:name="_GoBack"/>
            <w:bookmarkEnd w:id="0"/>
            <w:r w:rsidRPr="00A464CF">
              <w:rPr>
                <w:rFonts w:eastAsia="Times New Roman"/>
                <w:sz w:val="22"/>
                <w:szCs w:val="22"/>
              </w:rPr>
              <w:t>ầu</w:t>
            </w:r>
          </w:p>
        </w:tc>
      </w:tr>
      <w:tr w:rsidR="00A464CF" w:rsidRPr="00A464CF" w14:paraId="29FA1725" w14:textId="77777777" w:rsidTr="00AA2D1A">
        <w:trPr>
          <w:trHeight w:val="60"/>
        </w:trPr>
        <w:tc>
          <w:tcPr>
            <w:tcW w:w="708" w:type="dxa"/>
            <w:shd w:val="clear" w:color="auto" w:fill="auto"/>
            <w:noWrap/>
            <w:vAlign w:val="center"/>
            <w:hideMark/>
          </w:tcPr>
          <w:p w14:paraId="686379FB" w14:textId="77777777" w:rsidR="000F6F29" w:rsidRPr="00A464CF" w:rsidRDefault="000F6F29" w:rsidP="007337A3">
            <w:pPr>
              <w:jc w:val="center"/>
              <w:rPr>
                <w:rFonts w:eastAsia="Times New Roman"/>
                <w:b/>
                <w:bCs/>
                <w:sz w:val="22"/>
                <w:szCs w:val="22"/>
              </w:rPr>
            </w:pPr>
            <w:r w:rsidRPr="00A464CF">
              <w:rPr>
                <w:rFonts w:eastAsia="Times New Roman"/>
                <w:b/>
                <w:bCs/>
                <w:sz w:val="22"/>
                <w:szCs w:val="22"/>
              </w:rPr>
              <w:lastRenderedPageBreak/>
              <w:t>II</w:t>
            </w:r>
          </w:p>
        </w:tc>
        <w:tc>
          <w:tcPr>
            <w:tcW w:w="14455" w:type="dxa"/>
            <w:gridSpan w:val="3"/>
            <w:shd w:val="clear" w:color="auto" w:fill="auto"/>
            <w:vAlign w:val="center"/>
            <w:hideMark/>
          </w:tcPr>
          <w:p w14:paraId="4B4B7CA8" w14:textId="77777777" w:rsidR="000F6F29" w:rsidRPr="00A464CF" w:rsidRDefault="000F6F29" w:rsidP="007337A3">
            <w:pPr>
              <w:rPr>
                <w:rFonts w:eastAsia="Times New Roman"/>
                <w:b/>
                <w:bCs/>
                <w:sz w:val="22"/>
                <w:szCs w:val="22"/>
              </w:rPr>
            </w:pPr>
            <w:r w:rsidRPr="00A464CF">
              <w:rPr>
                <w:rFonts w:eastAsia="Times New Roman"/>
                <w:b/>
                <w:bCs/>
                <w:sz w:val="22"/>
                <w:szCs w:val="22"/>
              </w:rPr>
              <w:t>Tiếp tục hoàn thiện thể chế kinh tế thị trường định hướng xã hội chủ nghĩa</w:t>
            </w:r>
          </w:p>
        </w:tc>
      </w:tr>
      <w:tr w:rsidR="00A464CF" w:rsidRPr="00A464CF" w14:paraId="4D9EEAE7" w14:textId="77777777" w:rsidTr="00AA2D1A">
        <w:trPr>
          <w:trHeight w:val="967"/>
        </w:trPr>
        <w:tc>
          <w:tcPr>
            <w:tcW w:w="708" w:type="dxa"/>
            <w:shd w:val="clear" w:color="auto" w:fill="auto"/>
            <w:noWrap/>
            <w:vAlign w:val="center"/>
            <w:hideMark/>
          </w:tcPr>
          <w:p w14:paraId="7A569F4F" w14:textId="77777777" w:rsidR="000F6F29" w:rsidRPr="00A464CF" w:rsidRDefault="000F6F29" w:rsidP="007337A3">
            <w:pPr>
              <w:jc w:val="center"/>
              <w:rPr>
                <w:rFonts w:eastAsia="Times New Roman"/>
                <w:sz w:val="22"/>
                <w:szCs w:val="22"/>
              </w:rPr>
            </w:pPr>
            <w:r w:rsidRPr="00A464CF">
              <w:rPr>
                <w:rFonts w:eastAsia="Times New Roman"/>
                <w:sz w:val="22"/>
                <w:szCs w:val="22"/>
              </w:rPr>
              <w:t>1</w:t>
            </w:r>
          </w:p>
        </w:tc>
        <w:tc>
          <w:tcPr>
            <w:tcW w:w="5378" w:type="dxa"/>
            <w:shd w:val="clear" w:color="auto" w:fill="auto"/>
            <w:vAlign w:val="center"/>
            <w:hideMark/>
          </w:tcPr>
          <w:p w14:paraId="682A94BB" w14:textId="77777777" w:rsidR="000F6F29" w:rsidRPr="00A464CF" w:rsidRDefault="000F6F29" w:rsidP="007337A3">
            <w:pPr>
              <w:jc w:val="both"/>
              <w:rPr>
                <w:rFonts w:eastAsia="Times New Roman"/>
                <w:sz w:val="22"/>
                <w:szCs w:val="22"/>
              </w:rPr>
            </w:pPr>
            <w:r w:rsidRPr="00A464CF">
              <w:rPr>
                <w:rFonts w:eastAsia="Times New Roman"/>
                <w:sz w:val="22"/>
                <w:szCs w:val="22"/>
              </w:rPr>
              <w:t>Xây dựng đề án phát triển cân bằng và toàn diện thị trường tài chính, bao gồm thị trường tiền tệ và thị trường vốn, thị trường vốn cổ phiếu và trái phiếu (bao gồm trái phiếu chính phủ và trái phiếu doanh nghiệp); giữa dịch vụ tín dụng và các dịch vụ ngân hàng phi tín dụng; phát triển thị trường vốn đầu tư mạo hiểm trong năm 2017</w:t>
            </w:r>
          </w:p>
        </w:tc>
        <w:tc>
          <w:tcPr>
            <w:tcW w:w="7771" w:type="dxa"/>
            <w:shd w:val="clear" w:color="auto" w:fill="auto"/>
            <w:vAlign w:val="center"/>
            <w:hideMark/>
          </w:tcPr>
          <w:p w14:paraId="60089816" w14:textId="77777777" w:rsidR="00FD5638" w:rsidRPr="00A464CF" w:rsidRDefault="00FD5638" w:rsidP="00FD5638">
            <w:pPr>
              <w:jc w:val="both"/>
              <w:rPr>
                <w:rFonts w:eastAsia="Times New Roman"/>
                <w:sz w:val="22"/>
                <w:szCs w:val="22"/>
              </w:rPr>
            </w:pPr>
            <w:r w:rsidRPr="00A464CF">
              <w:rPr>
                <w:rFonts w:eastAsia="Times New Roman"/>
                <w:sz w:val="22"/>
                <w:szCs w:val="22"/>
              </w:rPr>
              <w:t>- Thủ tướng Chính phủ đã ban hành Quyết định số 242/QĐ-TTg ngày 28/2/2019 phê duyệt Đề án “cơ cấu lại thị trường chứng khoán và thị trường bảo hiểm đến năm 2020 và định hướng đến năm 2025”</w:t>
            </w:r>
          </w:p>
          <w:p w14:paraId="2BE0B64D" w14:textId="77777777" w:rsidR="00FD5638" w:rsidRPr="00A464CF" w:rsidRDefault="00FD5638" w:rsidP="00FD5638">
            <w:pPr>
              <w:jc w:val="both"/>
              <w:rPr>
                <w:rFonts w:eastAsia="Times New Roman"/>
                <w:sz w:val="22"/>
                <w:szCs w:val="22"/>
              </w:rPr>
            </w:pPr>
            <w:r w:rsidRPr="00A464CF">
              <w:rPr>
                <w:rFonts w:eastAsia="Times New Roman"/>
                <w:sz w:val="22"/>
                <w:szCs w:val="22"/>
              </w:rPr>
              <w:t>- Bộ Kế hoạch và Đầu tư đã soạn thảo trình Chính phủ ban hành </w:t>
            </w:r>
            <w:hyperlink r:id="rId8" w:tgtFrame="_blank" w:history="1">
              <w:r w:rsidRPr="00A464CF">
                <w:rPr>
                  <w:rStyle w:val="Hyperlink"/>
                  <w:rFonts w:eastAsia="Times New Roman"/>
                  <w:color w:val="auto"/>
                  <w:sz w:val="22"/>
                  <w:szCs w:val="22"/>
                  <w:u w:val="none"/>
                </w:rPr>
                <w:t>Nghị định 38/2018/NĐ-CP</w:t>
              </w:r>
            </w:hyperlink>
            <w:r w:rsidRPr="00A464CF">
              <w:rPr>
                <w:rFonts w:eastAsia="Times New Roman"/>
                <w:sz w:val="22"/>
                <w:szCs w:val="22"/>
              </w:rPr>
              <w:t xml:space="preserve"> ngày 11/3/2018 quy định chi tiết về đầu tư cho DNNVV khởi nghiệp sáng tạo đã tạo khung pháp lý cho việc thành lập các quỹ đầu tư khởi nghiệp sáng tạo, qua đó phát triển thị trường vốn đầu tư mạo hiểm</w:t>
            </w:r>
          </w:p>
          <w:p w14:paraId="4498ADAA" w14:textId="4DDCF6C7" w:rsidR="000F6F29" w:rsidRPr="00A464CF" w:rsidRDefault="000F6F29" w:rsidP="00FD5638">
            <w:pPr>
              <w:jc w:val="both"/>
              <w:rPr>
                <w:rFonts w:eastAsia="Times New Roman"/>
                <w:sz w:val="22"/>
                <w:szCs w:val="22"/>
              </w:rPr>
            </w:pPr>
          </w:p>
        </w:tc>
        <w:tc>
          <w:tcPr>
            <w:tcW w:w="1306" w:type="dxa"/>
            <w:shd w:val="clear" w:color="auto" w:fill="auto"/>
            <w:vAlign w:val="center"/>
            <w:hideMark/>
          </w:tcPr>
          <w:p w14:paraId="304B2388" w14:textId="77777777" w:rsidR="000F6F29" w:rsidRPr="00A464CF" w:rsidRDefault="000F6F29" w:rsidP="007337A3">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6214E07F" w14:textId="77777777" w:rsidTr="00AA2D1A">
        <w:trPr>
          <w:trHeight w:val="410"/>
        </w:trPr>
        <w:tc>
          <w:tcPr>
            <w:tcW w:w="708" w:type="dxa"/>
            <w:shd w:val="clear" w:color="auto" w:fill="auto"/>
            <w:noWrap/>
            <w:vAlign w:val="center"/>
            <w:hideMark/>
          </w:tcPr>
          <w:p w14:paraId="64A6793B" w14:textId="77777777" w:rsidR="000F6F29" w:rsidRPr="00A464CF" w:rsidRDefault="000F6F29" w:rsidP="007337A3">
            <w:pPr>
              <w:jc w:val="center"/>
              <w:rPr>
                <w:rFonts w:eastAsia="Times New Roman"/>
                <w:sz w:val="22"/>
                <w:szCs w:val="22"/>
              </w:rPr>
            </w:pPr>
            <w:r w:rsidRPr="00A464CF">
              <w:rPr>
                <w:rFonts w:eastAsia="Times New Roman"/>
                <w:sz w:val="22"/>
                <w:szCs w:val="22"/>
              </w:rPr>
              <w:t>2</w:t>
            </w:r>
          </w:p>
        </w:tc>
        <w:tc>
          <w:tcPr>
            <w:tcW w:w="5378" w:type="dxa"/>
            <w:shd w:val="clear" w:color="auto" w:fill="auto"/>
            <w:vAlign w:val="center"/>
            <w:hideMark/>
          </w:tcPr>
          <w:p w14:paraId="6185BA0D" w14:textId="53D1606F" w:rsidR="000F6F29" w:rsidRPr="00A464CF" w:rsidRDefault="000F6F29" w:rsidP="00413932">
            <w:pPr>
              <w:jc w:val="both"/>
              <w:rPr>
                <w:rFonts w:eastAsia="Times New Roman"/>
                <w:sz w:val="22"/>
                <w:szCs w:val="22"/>
              </w:rPr>
            </w:pPr>
            <w:r w:rsidRPr="00A464CF">
              <w:rPr>
                <w:rFonts w:eastAsia="Times New Roman"/>
                <w:sz w:val="22"/>
                <w:szCs w:val="22"/>
              </w:rPr>
              <w:t xml:space="preserve">Rà soát, sửa đổi bổ sung các quy định của pháp luật về ngân sách </w:t>
            </w:r>
            <w:r w:rsidR="00413932" w:rsidRPr="00A464CF">
              <w:rPr>
                <w:rFonts w:eastAsia="Times New Roman"/>
                <w:sz w:val="22"/>
                <w:szCs w:val="22"/>
              </w:rPr>
              <w:t>n</w:t>
            </w:r>
            <w:r w:rsidR="00F647DA" w:rsidRPr="00A464CF">
              <w:rPr>
                <w:rFonts w:eastAsia="Times New Roman"/>
                <w:sz w:val="22"/>
                <w:szCs w:val="22"/>
              </w:rPr>
              <w:t>hà nước</w:t>
            </w:r>
            <w:r w:rsidRPr="00A464CF">
              <w:rPr>
                <w:rFonts w:eastAsia="Times New Roman"/>
                <w:sz w:val="22"/>
                <w:szCs w:val="22"/>
              </w:rPr>
              <w:t>, nợ công, quản lý tài sản công, nguồn lực công bảo đảm tiếp tục quản lý chặt chẽ và phát huy hiệu quả cho phát triển kinh tế - xã hội</w:t>
            </w:r>
          </w:p>
        </w:tc>
        <w:tc>
          <w:tcPr>
            <w:tcW w:w="7771" w:type="dxa"/>
            <w:shd w:val="clear" w:color="auto" w:fill="auto"/>
            <w:vAlign w:val="center"/>
            <w:hideMark/>
          </w:tcPr>
          <w:p w14:paraId="623F7AF5" w14:textId="77777777" w:rsidR="000F6F29" w:rsidRPr="00A464CF" w:rsidRDefault="000F6F29" w:rsidP="007337A3">
            <w:pPr>
              <w:jc w:val="both"/>
              <w:rPr>
                <w:rFonts w:eastAsia="Times New Roman"/>
                <w:sz w:val="22"/>
                <w:szCs w:val="22"/>
              </w:rPr>
            </w:pPr>
            <w:r w:rsidRPr="00A464CF">
              <w:rPr>
                <w:rFonts w:eastAsia="Times New Roman"/>
                <w:sz w:val="22"/>
                <w:szCs w:val="22"/>
              </w:rPr>
              <w:t>Nhiều văn bản pháp luật có liên quan đã được ban hành/trình cấp có thẩm quyền xem xét, ban hành như: Luật Quản lý nợ công (sửa đổi); Nghị định số 52/2017/NĐ-CP ngày 28/4/2017 của Chính phủ về cho vay lại chính quyền địa phương; Nghị định số 52/2017/NĐ-CP ngày 28/4/2017 về cho vay lại nguồn vốn vay nước ngoài của Chính phủ đối với UBND tỉnh, thành phố trực thuộc Trung ương; Nghị định 04/2017/Đ-CP ngày 16/01/2017 về cấp và quản lý bảo lãnh Chính phủ thay thế Nghị định số 15/2011/NĐ-CP; Luật Quản lý, sử dụng tài sản công và xây dựng dự thảo trình Chính phủ, Thủ tướng Chính phủ ban hành đối với 15 Nghị định và 01 Quyết định đảm bảo có hiệu lực thi hành cùng với hiệu lực thi hành của Luật.</w:t>
            </w:r>
          </w:p>
        </w:tc>
        <w:tc>
          <w:tcPr>
            <w:tcW w:w="1306" w:type="dxa"/>
            <w:shd w:val="clear" w:color="auto" w:fill="auto"/>
            <w:vAlign w:val="center"/>
            <w:hideMark/>
          </w:tcPr>
          <w:p w14:paraId="385CFAF8" w14:textId="77777777" w:rsidR="000F6F29" w:rsidRPr="00A464CF" w:rsidRDefault="000F6F29" w:rsidP="007337A3">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6F866112" w14:textId="77777777" w:rsidTr="00AA2D1A">
        <w:trPr>
          <w:trHeight w:val="824"/>
        </w:trPr>
        <w:tc>
          <w:tcPr>
            <w:tcW w:w="708" w:type="dxa"/>
            <w:shd w:val="clear" w:color="auto" w:fill="auto"/>
            <w:noWrap/>
            <w:vAlign w:val="center"/>
            <w:hideMark/>
          </w:tcPr>
          <w:p w14:paraId="55F55143" w14:textId="77777777" w:rsidR="000F6F29" w:rsidRPr="00A464CF" w:rsidRDefault="000F6F29" w:rsidP="007337A3">
            <w:pPr>
              <w:jc w:val="center"/>
              <w:rPr>
                <w:rFonts w:eastAsia="Times New Roman"/>
                <w:sz w:val="22"/>
                <w:szCs w:val="22"/>
              </w:rPr>
            </w:pPr>
            <w:r w:rsidRPr="00A464CF">
              <w:rPr>
                <w:rFonts w:eastAsia="Times New Roman"/>
                <w:sz w:val="22"/>
                <w:szCs w:val="22"/>
              </w:rPr>
              <w:t>3</w:t>
            </w:r>
          </w:p>
        </w:tc>
        <w:tc>
          <w:tcPr>
            <w:tcW w:w="5378" w:type="dxa"/>
            <w:shd w:val="clear" w:color="auto" w:fill="auto"/>
            <w:vAlign w:val="center"/>
            <w:hideMark/>
          </w:tcPr>
          <w:p w14:paraId="3F3B4B1C" w14:textId="40EE2E1A" w:rsidR="000F6F29" w:rsidRPr="00A464CF" w:rsidRDefault="000F6F29" w:rsidP="007337A3">
            <w:pPr>
              <w:jc w:val="both"/>
              <w:rPr>
                <w:rFonts w:eastAsia="Times New Roman"/>
                <w:sz w:val="22"/>
                <w:szCs w:val="22"/>
              </w:rPr>
            </w:pPr>
            <w:r w:rsidRPr="00A464CF">
              <w:rPr>
                <w:rFonts w:eastAsia="Times New Roman"/>
                <w:sz w:val="22"/>
                <w:szCs w:val="22"/>
              </w:rPr>
              <w:t xml:space="preserve">Ban hành Nghị định quy định về quản lý, sử dụng ngân sách </w:t>
            </w:r>
            <w:r w:rsidR="00413932" w:rsidRPr="00A464CF">
              <w:rPr>
                <w:rFonts w:eastAsia="Times New Roman"/>
                <w:sz w:val="22"/>
                <w:szCs w:val="22"/>
              </w:rPr>
              <w:t>n</w:t>
            </w:r>
            <w:r w:rsidR="00F647DA" w:rsidRPr="00A464CF">
              <w:rPr>
                <w:rFonts w:eastAsia="Times New Roman"/>
                <w:sz w:val="22"/>
                <w:szCs w:val="22"/>
              </w:rPr>
              <w:t>hà nước</w:t>
            </w:r>
            <w:r w:rsidRPr="00A464CF">
              <w:rPr>
                <w:rFonts w:eastAsia="Times New Roman"/>
                <w:sz w:val="22"/>
                <w:szCs w:val="22"/>
              </w:rPr>
              <w:t xml:space="preserve"> đối với một số hoạt động thuộc lĩnh vực quốc phòng, an ninh</w:t>
            </w:r>
          </w:p>
        </w:tc>
        <w:tc>
          <w:tcPr>
            <w:tcW w:w="7771" w:type="dxa"/>
            <w:shd w:val="clear" w:color="auto" w:fill="auto"/>
            <w:vAlign w:val="center"/>
            <w:hideMark/>
          </w:tcPr>
          <w:p w14:paraId="60BD4DDB" w14:textId="77777777" w:rsidR="000F6F29" w:rsidRPr="00A464CF" w:rsidRDefault="000F6F29" w:rsidP="007337A3">
            <w:pPr>
              <w:jc w:val="both"/>
              <w:rPr>
                <w:rFonts w:eastAsia="Times New Roman"/>
                <w:sz w:val="22"/>
                <w:szCs w:val="22"/>
              </w:rPr>
            </w:pPr>
            <w:r w:rsidRPr="00A464CF">
              <w:rPr>
                <w:rFonts w:eastAsia="Times New Roman"/>
                <w:sz w:val="22"/>
                <w:szCs w:val="22"/>
              </w:rPr>
              <w:t>Nghị định số 165/2016/NĐ-CP quy định về quản lý, sử dụng NSNN đối với một số hoạt động thuộc lĩnh vực quốc phòng, an ninh; Thông tư số 55/2027/TT-BTC ngày 19/5/2017 quy định chi tiết về quản lý, sử dụng NSNN đối với một số hoạt động thuộc lĩnh vực an ninh và trật tự, an toàn xã hội.</w:t>
            </w:r>
          </w:p>
        </w:tc>
        <w:tc>
          <w:tcPr>
            <w:tcW w:w="1306" w:type="dxa"/>
            <w:shd w:val="clear" w:color="auto" w:fill="auto"/>
            <w:vAlign w:val="center"/>
            <w:hideMark/>
          </w:tcPr>
          <w:p w14:paraId="5960BED9" w14:textId="77777777" w:rsidR="000F6F29" w:rsidRPr="00A464CF" w:rsidRDefault="000F6F29" w:rsidP="007337A3">
            <w:pPr>
              <w:rPr>
                <w:rFonts w:eastAsia="Times New Roman"/>
                <w:sz w:val="22"/>
                <w:szCs w:val="22"/>
              </w:rPr>
            </w:pPr>
            <w:r w:rsidRPr="00A464CF">
              <w:rPr>
                <w:rFonts w:eastAsia="Times New Roman"/>
                <w:sz w:val="22"/>
                <w:szCs w:val="22"/>
              </w:rPr>
              <w:t>Đã triển khai và có kết quả rõ ràng</w:t>
            </w:r>
          </w:p>
        </w:tc>
      </w:tr>
      <w:tr w:rsidR="00A464CF" w:rsidRPr="00A464CF" w14:paraId="5B098D36" w14:textId="77777777" w:rsidTr="00AA2D1A">
        <w:trPr>
          <w:trHeight w:val="60"/>
        </w:trPr>
        <w:tc>
          <w:tcPr>
            <w:tcW w:w="708" w:type="dxa"/>
            <w:shd w:val="clear" w:color="auto" w:fill="auto"/>
            <w:noWrap/>
            <w:vAlign w:val="center"/>
            <w:hideMark/>
          </w:tcPr>
          <w:p w14:paraId="1146F25E" w14:textId="77777777" w:rsidR="000F6F29" w:rsidRPr="00A464CF" w:rsidRDefault="000F6F29" w:rsidP="007337A3">
            <w:pPr>
              <w:jc w:val="center"/>
              <w:rPr>
                <w:rFonts w:eastAsia="Times New Roman"/>
                <w:sz w:val="22"/>
                <w:szCs w:val="22"/>
              </w:rPr>
            </w:pPr>
            <w:r w:rsidRPr="00A464CF">
              <w:rPr>
                <w:rFonts w:eastAsia="Times New Roman"/>
                <w:sz w:val="22"/>
                <w:szCs w:val="22"/>
              </w:rPr>
              <w:t>4</w:t>
            </w:r>
          </w:p>
        </w:tc>
        <w:tc>
          <w:tcPr>
            <w:tcW w:w="5378" w:type="dxa"/>
            <w:shd w:val="clear" w:color="auto" w:fill="auto"/>
            <w:vAlign w:val="center"/>
            <w:hideMark/>
          </w:tcPr>
          <w:p w14:paraId="69CCB951" w14:textId="77777777" w:rsidR="000F6F29" w:rsidRPr="00A464CF" w:rsidRDefault="000F6F29" w:rsidP="007337A3">
            <w:pPr>
              <w:jc w:val="both"/>
              <w:rPr>
                <w:rFonts w:eastAsia="Times New Roman"/>
                <w:sz w:val="22"/>
                <w:szCs w:val="22"/>
              </w:rPr>
            </w:pPr>
            <w:r w:rsidRPr="00A464CF">
              <w:rPr>
                <w:rFonts w:eastAsia="Times New Roman"/>
                <w:sz w:val="22"/>
                <w:szCs w:val="22"/>
              </w:rPr>
              <w:t xml:space="preserve">Ban hành Nghị quyết về tiếp tục thu hút, đổi mới quản lý và sử dụng có hiệu quả vốn đầu tư nước ngoài giai đoạn 2016 - 2020, tầm nhìn đến năm 2025 theo hướng góp phần phát triển xanh, bền vững; không cấp phép các dự án tiêu tốn nhiều năng lượng, khai thác khoáng sản không gắn với chế biến sâu, lãng phí tài nguyên, sử dụng công nghệ lạc </w:t>
            </w:r>
            <w:r w:rsidRPr="00A464CF">
              <w:rPr>
                <w:rFonts w:eastAsia="Times New Roman"/>
                <w:sz w:val="22"/>
                <w:szCs w:val="22"/>
              </w:rPr>
              <w:lastRenderedPageBreak/>
              <w:t>hậu, có nguy cơ cao về gây ô nhiễm môi trường; tạo điều kiện và tăng cường liên kết với các doanh nghiệp trong nước đầu tư vào các lĩnh vực công nghiệp hỗ trợ, công nghiệp phục vụ nông nghiệp, dịch vụ có lợi thế và hàm lượng tri thức cao; đổi mới phương thức xúc tiến đầu tư theo hướng có trọng tâm, trọng điểm đối với từng ngành, lĩnh vực, khu vực và đối tác.</w:t>
            </w:r>
          </w:p>
        </w:tc>
        <w:tc>
          <w:tcPr>
            <w:tcW w:w="7771" w:type="dxa"/>
            <w:shd w:val="clear" w:color="auto" w:fill="auto"/>
            <w:vAlign w:val="center"/>
            <w:hideMark/>
          </w:tcPr>
          <w:p w14:paraId="7C8ECEE2" w14:textId="104D389C" w:rsidR="000F6F29" w:rsidRPr="00A464CF" w:rsidRDefault="000F6F29" w:rsidP="007337A3">
            <w:pPr>
              <w:jc w:val="both"/>
              <w:rPr>
                <w:rFonts w:asciiTheme="majorHAnsi" w:hAnsiTheme="majorHAnsi" w:cstheme="majorHAnsi"/>
                <w:sz w:val="22"/>
                <w:szCs w:val="22"/>
              </w:rPr>
            </w:pPr>
          </w:p>
          <w:p w14:paraId="43EF0BD7" w14:textId="77777777" w:rsidR="00FD5638" w:rsidRPr="00A464CF" w:rsidRDefault="00FD5638" w:rsidP="00FD5638">
            <w:pPr>
              <w:numPr>
                <w:ilvl w:val="0"/>
                <w:numId w:val="30"/>
              </w:numPr>
              <w:tabs>
                <w:tab w:val="left" w:pos="185"/>
              </w:tabs>
              <w:ind w:left="0" w:firstLine="0"/>
              <w:jc w:val="both"/>
              <w:rPr>
                <w:rFonts w:asciiTheme="majorHAnsi" w:hAnsiTheme="majorHAnsi" w:cstheme="majorHAnsi"/>
                <w:sz w:val="22"/>
                <w:szCs w:val="22"/>
                <w:lang w:val="x-none"/>
              </w:rPr>
            </w:pPr>
            <w:r w:rsidRPr="00A464CF">
              <w:rPr>
                <w:rFonts w:asciiTheme="majorHAnsi" w:hAnsiTheme="majorHAnsi" w:cstheme="majorHAnsi"/>
                <w:sz w:val="22"/>
                <w:szCs w:val="22"/>
                <w:lang w:val="x-none"/>
              </w:rPr>
              <w:t>Nghị quyết số 58/NQ-CP năm 2020 về Chương trình hành động thực hiện Nghị quyết số 50-NQ/TW về định hướng hoàn thiện thể chế, chính sách, nâng cao chất lượng, hiệu quả hợp tác đầu tư nước ngoài đến năm 2030 do Chính phủ ban hành triển khai các nhiệm vụ theo định hướng trên.</w:t>
            </w:r>
          </w:p>
          <w:p w14:paraId="6DEE48F7" w14:textId="44A60F25" w:rsidR="00FD5638" w:rsidRPr="00A464CF" w:rsidRDefault="00FD5638" w:rsidP="00FD5638">
            <w:pPr>
              <w:jc w:val="both"/>
              <w:rPr>
                <w:rFonts w:eastAsia="Times New Roman"/>
                <w:sz w:val="22"/>
                <w:szCs w:val="22"/>
              </w:rPr>
            </w:pPr>
            <w:r w:rsidRPr="00A464CF">
              <w:rPr>
                <w:rFonts w:asciiTheme="majorHAnsi" w:hAnsiTheme="majorHAnsi" w:cstheme="majorHAnsi"/>
                <w:sz w:val="22"/>
                <w:szCs w:val="22"/>
              </w:rPr>
              <w:t>Luật Bảo vệ môi trường sửa đổi đã được Quốc hội thông qua ngày 17/11/2020</w:t>
            </w:r>
          </w:p>
        </w:tc>
        <w:tc>
          <w:tcPr>
            <w:tcW w:w="1306" w:type="dxa"/>
            <w:shd w:val="clear" w:color="auto" w:fill="auto"/>
            <w:vAlign w:val="center"/>
            <w:hideMark/>
          </w:tcPr>
          <w:p w14:paraId="69722530" w14:textId="37898C65" w:rsidR="000F6F29" w:rsidRPr="00A464CF" w:rsidRDefault="009B59AF" w:rsidP="007337A3">
            <w:pPr>
              <w:rPr>
                <w:rFonts w:eastAsia="Times New Roman"/>
                <w:sz w:val="22"/>
                <w:szCs w:val="22"/>
              </w:rPr>
            </w:pPr>
            <w:r w:rsidRPr="00A464CF">
              <w:rPr>
                <w:rFonts w:eastAsia="Times New Roman"/>
                <w:sz w:val="22"/>
                <w:szCs w:val="22"/>
              </w:rPr>
              <w:t>Đã triển khai và có kết quả rõ ràng</w:t>
            </w:r>
          </w:p>
        </w:tc>
      </w:tr>
      <w:tr w:rsidR="00A464CF" w:rsidRPr="00A464CF" w14:paraId="05F13798" w14:textId="77777777" w:rsidTr="00AA2D1A">
        <w:trPr>
          <w:trHeight w:val="1270"/>
        </w:trPr>
        <w:tc>
          <w:tcPr>
            <w:tcW w:w="708" w:type="dxa"/>
            <w:shd w:val="clear" w:color="auto" w:fill="auto"/>
            <w:noWrap/>
            <w:vAlign w:val="center"/>
            <w:hideMark/>
          </w:tcPr>
          <w:p w14:paraId="187B243D" w14:textId="77777777" w:rsidR="000F6F29" w:rsidRPr="00A464CF" w:rsidRDefault="000F6F29" w:rsidP="007337A3">
            <w:pPr>
              <w:jc w:val="center"/>
              <w:rPr>
                <w:rFonts w:eastAsia="Times New Roman"/>
                <w:sz w:val="22"/>
                <w:szCs w:val="22"/>
              </w:rPr>
            </w:pPr>
            <w:r w:rsidRPr="00A464CF">
              <w:rPr>
                <w:rFonts w:eastAsia="Times New Roman"/>
                <w:sz w:val="22"/>
                <w:szCs w:val="22"/>
              </w:rPr>
              <w:lastRenderedPageBreak/>
              <w:t>5</w:t>
            </w:r>
          </w:p>
        </w:tc>
        <w:tc>
          <w:tcPr>
            <w:tcW w:w="5378" w:type="dxa"/>
            <w:shd w:val="clear" w:color="auto" w:fill="auto"/>
            <w:vAlign w:val="center"/>
            <w:hideMark/>
          </w:tcPr>
          <w:p w14:paraId="472A06E9" w14:textId="77777777" w:rsidR="000F6F29" w:rsidRPr="00A464CF" w:rsidRDefault="000F6F29" w:rsidP="007337A3">
            <w:pPr>
              <w:jc w:val="both"/>
              <w:rPr>
                <w:rFonts w:eastAsia="Times New Roman"/>
                <w:sz w:val="22"/>
                <w:szCs w:val="22"/>
              </w:rPr>
            </w:pPr>
            <w:r w:rsidRPr="00A464CF">
              <w:rPr>
                <w:rFonts w:eastAsia="Times New Roman"/>
                <w:sz w:val="22"/>
                <w:szCs w:val="22"/>
              </w:rPr>
              <w:t>Xây dựng Luật đơn vị hành chính - kinh tế đặc biệt; xây dựng Nghị định của Chính phủ về phát triển vùng kinh tế động lực nhằm thực hiện tốt, đầy đủ vai trò đầu tàu, thúc đẩy phát triển kinh tế - xã hội của cả nước</w:t>
            </w:r>
          </w:p>
        </w:tc>
        <w:tc>
          <w:tcPr>
            <w:tcW w:w="7771" w:type="dxa"/>
            <w:shd w:val="clear" w:color="auto" w:fill="auto"/>
            <w:vAlign w:val="center"/>
            <w:hideMark/>
          </w:tcPr>
          <w:p w14:paraId="3257EED0" w14:textId="77777777" w:rsidR="000F6F29" w:rsidRPr="00A464CF" w:rsidRDefault="000F6F29" w:rsidP="007337A3">
            <w:pPr>
              <w:jc w:val="both"/>
              <w:rPr>
                <w:rFonts w:eastAsia="Times New Roman"/>
                <w:sz w:val="22"/>
                <w:szCs w:val="22"/>
              </w:rPr>
            </w:pPr>
            <w:r w:rsidRPr="00A464CF">
              <w:rPr>
                <w:rFonts w:eastAsia="Times New Roman"/>
                <w:sz w:val="22"/>
                <w:szCs w:val="22"/>
              </w:rPr>
              <w:t>Luật Đơn vị hành chính kinh tế đặc biệt Vân Đồn, Bắc Vân Phong và Phú Quốc đang trình Quốc hội xem xét. Bộ Kế hoạch và Đầu tư đang xây dựng dự thảo Nghị định của Chính phủ về phát triển vùng kinh tế động lực</w:t>
            </w:r>
          </w:p>
        </w:tc>
        <w:tc>
          <w:tcPr>
            <w:tcW w:w="1306" w:type="dxa"/>
            <w:shd w:val="clear" w:color="auto" w:fill="auto"/>
            <w:vAlign w:val="center"/>
            <w:hideMark/>
          </w:tcPr>
          <w:p w14:paraId="7271770E" w14:textId="77777777" w:rsidR="000F6F29" w:rsidRPr="00A464CF" w:rsidRDefault="000F6F29" w:rsidP="007337A3">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5AFB3C58" w14:textId="77777777" w:rsidTr="00AA2D1A">
        <w:trPr>
          <w:trHeight w:val="161"/>
        </w:trPr>
        <w:tc>
          <w:tcPr>
            <w:tcW w:w="708" w:type="dxa"/>
            <w:shd w:val="clear" w:color="auto" w:fill="auto"/>
            <w:noWrap/>
            <w:vAlign w:val="center"/>
            <w:hideMark/>
          </w:tcPr>
          <w:p w14:paraId="11EE7E17" w14:textId="77777777" w:rsidR="000F6F29" w:rsidRPr="00A464CF" w:rsidRDefault="000F6F29" w:rsidP="007337A3">
            <w:pPr>
              <w:jc w:val="center"/>
              <w:rPr>
                <w:rFonts w:eastAsia="Times New Roman"/>
                <w:sz w:val="22"/>
                <w:szCs w:val="22"/>
              </w:rPr>
            </w:pPr>
            <w:r w:rsidRPr="00A464CF">
              <w:rPr>
                <w:rFonts w:eastAsia="Times New Roman"/>
                <w:sz w:val="22"/>
                <w:szCs w:val="22"/>
              </w:rPr>
              <w:t>6</w:t>
            </w:r>
          </w:p>
        </w:tc>
        <w:tc>
          <w:tcPr>
            <w:tcW w:w="5378" w:type="dxa"/>
            <w:shd w:val="clear" w:color="auto" w:fill="auto"/>
            <w:vAlign w:val="center"/>
            <w:hideMark/>
          </w:tcPr>
          <w:p w14:paraId="0567F0DB" w14:textId="77777777" w:rsidR="000F6F29" w:rsidRPr="00A464CF" w:rsidRDefault="000F6F29" w:rsidP="007337A3">
            <w:pPr>
              <w:jc w:val="both"/>
              <w:rPr>
                <w:rFonts w:eastAsia="Times New Roman"/>
                <w:sz w:val="22"/>
                <w:szCs w:val="22"/>
              </w:rPr>
            </w:pPr>
            <w:r w:rsidRPr="00A464CF">
              <w:rPr>
                <w:rFonts w:eastAsia="Times New Roman"/>
                <w:sz w:val="22"/>
                <w:szCs w:val="22"/>
              </w:rPr>
              <w:t>Xây dựng Đề án tổng thể về chính sách cạnh tranh quốc gia trong quý IV năm 2017</w:t>
            </w:r>
          </w:p>
        </w:tc>
        <w:tc>
          <w:tcPr>
            <w:tcW w:w="7771" w:type="dxa"/>
            <w:shd w:val="clear" w:color="auto" w:fill="auto"/>
            <w:vAlign w:val="center"/>
            <w:hideMark/>
          </w:tcPr>
          <w:p w14:paraId="7F8FB362" w14:textId="77777777" w:rsidR="000F6F29" w:rsidRPr="00A464CF" w:rsidRDefault="000F6F29" w:rsidP="007337A3">
            <w:pPr>
              <w:jc w:val="both"/>
              <w:rPr>
                <w:rFonts w:eastAsia="Times New Roman"/>
                <w:sz w:val="22"/>
                <w:szCs w:val="22"/>
              </w:rPr>
            </w:pPr>
            <w:r w:rsidRPr="00A464CF">
              <w:rPr>
                <w:rFonts w:eastAsia="Times New Roman"/>
                <w:sz w:val="22"/>
                <w:szCs w:val="22"/>
              </w:rPr>
              <w:t>Đề án Tổng thể về chính sách cạnh tranh quốc gia đã trình Thủ tướng Chính phủ xem xét, quyết định. Kết quả của đề án đã được lồng ghép vào các đề án, chương trình, chính sách khác nhau của Chính phủ và các bộ ngành</w:t>
            </w:r>
          </w:p>
        </w:tc>
        <w:tc>
          <w:tcPr>
            <w:tcW w:w="1306" w:type="dxa"/>
            <w:shd w:val="clear" w:color="auto" w:fill="auto"/>
            <w:vAlign w:val="center"/>
            <w:hideMark/>
          </w:tcPr>
          <w:p w14:paraId="46E1AEC9" w14:textId="77777777" w:rsidR="000F6F29" w:rsidRPr="00A464CF" w:rsidRDefault="000F6F29" w:rsidP="007337A3">
            <w:pPr>
              <w:rPr>
                <w:rFonts w:eastAsia="Times New Roman"/>
                <w:sz w:val="22"/>
                <w:szCs w:val="22"/>
              </w:rPr>
            </w:pPr>
            <w:r w:rsidRPr="00A464CF">
              <w:rPr>
                <w:rFonts w:eastAsia="Times New Roman"/>
                <w:sz w:val="22"/>
                <w:szCs w:val="22"/>
              </w:rPr>
              <w:t>Đã triển khai và có kết quả rõ ràng</w:t>
            </w:r>
          </w:p>
        </w:tc>
      </w:tr>
      <w:tr w:rsidR="00A464CF" w:rsidRPr="00A464CF" w14:paraId="1A0572BB" w14:textId="77777777" w:rsidTr="00AA2D1A">
        <w:trPr>
          <w:trHeight w:val="4379"/>
        </w:trPr>
        <w:tc>
          <w:tcPr>
            <w:tcW w:w="708" w:type="dxa"/>
            <w:shd w:val="clear" w:color="auto" w:fill="auto"/>
            <w:noWrap/>
            <w:vAlign w:val="center"/>
            <w:hideMark/>
          </w:tcPr>
          <w:p w14:paraId="7346E850" w14:textId="77777777" w:rsidR="000F6F29" w:rsidRPr="00A464CF" w:rsidRDefault="000F6F29" w:rsidP="007337A3">
            <w:pPr>
              <w:jc w:val="center"/>
              <w:rPr>
                <w:rFonts w:eastAsia="Times New Roman"/>
                <w:sz w:val="22"/>
                <w:szCs w:val="22"/>
              </w:rPr>
            </w:pPr>
            <w:r w:rsidRPr="00A464CF">
              <w:rPr>
                <w:rFonts w:eastAsia="Times New Roman"/>
                <w:sz w:val="22"/>
                <w:szCs w:val="22"/>
              </w:rPr>
              <w:t>7</w:t>
            </w:r>
          </w:p>
        </w:tc>
        <w:tc>
          <w:tcPr>
            <w:tcW w:w="5378" w:type="dxa"/>
            <w:shd w:val="clear" w:color="auto" w:fill="auto"/>
            <w:vAlign w:val="center"/>
            <w:hideMark/>
          </w:tcPr>
          <w:p w14:paraId="024B37EF" w14:textId="05F66C49" w:rsidR="000F6F29" w:rsidRPr="00A464CF" w:rsidRDefault="000F6F29" w:rsidP="007337A3">
            <w:pPr>
              <w:jc w:val="both"/>
              <w:rPr>
                <w:rFonts w:eastAsia="Times New Roman"/>
                <w:spacing w:val="-4"/>
                <w:sz w:val="22"/>
                <w:szCs w:val="22"/>
              </w:rPr>
            </w:pPr>
            <w:r w:rsidRPr="00A464CF">
              <w:rPr>
                <w:rFonts w:eastAsia="Times New Roman"/>
                <w:spacing w:val="-4"/>
                <w:sz w:val="22"/>
                <w:szCs w:val="22"/>
              </w:rPr>
              <w:t xml:space="preserve">Sơ kết đánh giá việc tổ chức thi hành Luật Đất đai; đánh giá tác động của các chính sách đất đai đối với phát triển kinh tế, xã hội và môi trường. Sửa đổi, bổ sung các quy định của pháp luật về đất đai, đảm bảo sự đồng bộ, thống nhất với các pháp luật khác có liên quan; thúc đẩy phát triển thị trường quyền sử dụng đất; tạo điều kiện tích tụ, tập trung đất đai, phát huy nguồn lực đất đai cho phát triển kinh tế - xã hội, đặc biệt là việc sản xuất nông nghiệp theo mô hình tập trung quy mô lớn, nông nghiệp công nghệ cao; tạo điều kiện thuận lợi cho các doanh nghiệp (bao gồm cả doanh nghiệp trong nước và doanh nghiệp nước ngoài) tiếp cận đất đai để thực hiện đầu tư sản xuất, kinh doanh; thúc đẩy việc cổ phần hóa các doanh nghiệp </w:t>
            </w:r>
            <w:r w:rsidR="00413932" w:rsidRPr="00A464CF">
              <w:rPr>
                <w:rFonts w:eastAsia="Times New Roman"/>
                <w:spacing w:val="-4"/>
                <w:sz w:val="22"/>
                <w:szCs w:val="22"/>
              </w:rPr>
              <w:t>n</w:t>
            </w:r>
            <w:r w:rsidR="00F647DA" w:rsidRPr="00A464CF">
              <w:rPr>
                <w:rFonts w:eastAsia="Times New Roman"/>
                <w:spacing w:val="-4"/>
                <w:sz w:val="22"/>
                <w:szCs w:val="22"/>
              </w:rPr>
              <w:t>hà nước</w:t>
            </w:r>
            <w:r w:rsidRPr="00A464CF">
              <w:rPr>
                <w:rFonts w:eastAsia="Times New Roman"/>
                <w:spacing w:val="-4"/>
                <w:sz w:val="22"/>
                <w:szCs w:val="22"/>
              </w:rPr>
              <w:t xml:space="preserve"> nhưng phải đảm bảo quản lý chặt chẽ, khai thác hiệu quả và không để thất thoát đất đai của </w:t>
            </w:r>
            <w:r w:rsidR="00F647DA" w:rsidRPr="00A464CF">
              <w:rPr>
                <w:rFonts w:eastAsia="Times New Roman"/>
                <w:spacing w:val="-4"/>
                <w:sz w:val="22"/>
                <w:szCs w:val="22"/>
              </w:rPr>
              <w:t>Nhà nước</w:t>
            </w:r>
            <w:r w:rsidRPr="00A464CF">
              <w:rPr>
                <w:rFonts w:eastAsia="Times New Roman"/>
                <w:spacing w:val="-4"/>
                <w:sz w:val="22"/>
                <w:szCs w:val="22"/>
              </w:rPr>
              <w:t xml:space="preserve">; khắc phục tình trạng khiếu nại, khiếu kiện liên quan đến đất đai, đặc biệt là đối với công tác định giá đất để bồi thường, hỗ trợ, tái định cư khi </w:t>
            </w:r>
            <w:r w:rsidR="00F647DA" w:rsidRPr="00A464CF">
              <w:rPr>
                <w:rFonts w:eastAsia="Times New Roman"/>
                <w:spacing w:val="-4"/>
                <w:sz w:val="22"/>
                <w:szCs w:val="22"/>
              </w:rPr>
              <w:t>Nhà nước</w:t>
            </w:r>
            <w:r w:rsidRPr="00A464CF">
              <w:rPr>
                <w:rFonts w:eastAsia="Times New Roman"/>
                <w:spacing w:val="-4"/>
                <w:sz w:val="22"/>
                <w:szCs w:val="22"/>
              </w:rPr>
              <w:t xml:space="preserve"> thu hồi đất. Khẩn trương đề xuất việc sửa đổi, bổ sung các quy định gây khó khăn, vướng mắc về môi trường đầu tư, kinh doanh.</w:t>
            </w:r>
          </w:p>
        </w:tc>
        <w:tc>
          <w:tcPr>
            <w:tcW w:w="7771" w:type="dxa"/>
            <w:shd w:val="clear" w:color="auto" w:fill="auto"/>
            <w:vAlign w:val="center"/>
            <w:hideMark/>
          </w:tcPr>
          <w:p w14:paraId="7C8AA526" w14:textId="77777777" w:rsidR="000F6F29" w:rsidRPr="00A464CF" w:rsidRDefault="000F6F29" w:rsidP="007337A3">
            <w:pPr>
              <w:jc w:val="both"/>
              <w:rPr>
                <w:rFonts w:eastAsia="Times New Roman"/>
                <w:sz w:val="22"/>
                <w:szCs w:val="22"/>
              </w:rPr>
            </w:pPr>
            <w:r w:rsidRPr="00A464CF">
              <w:rPr>
                <w:rFonts w:eastAsia="Times New Roman"/>
                <w:sz w:val="22"/>
                <w:szCs w:val="22"/>
              </w:rPr>
              <w:t>Bộ Tài nguyên và Môi trường đang thực hiện sơ kết việc tổ chức thi hành Luật Đất đai. Đồng thời, Ban cán sự đảng Bộ Tài nguyên và Môi trường đã có Báo cáo số 33-BC/BCSĐTNMT ngày 05 tháng 7 năm 2017 gửi Ban Chỉ đạo về sơ kết 05 năm thực hiện Nghị quyết số 19-NQ/TW. Bộ Tài nguyên và Môi trường đang dự thảo Đề án Các giải pháp phát triển mạnh thị trường quyền sử dụng đất, với các giải pháp để thực hiện các nhiệm vụ này.</w:t>
            </w:r>
          </w:p>
          <w:p w14:paraId="5D895D3C" w14:textId="77777777" w:rsidR="00FD5638" w:rsidRPr="00A464CF" w:rsidRDefault="00FD5638" w:rsidP="00FD5638">
            <w:pPr>
              <w:jc w:val="both"/>
              <w:rPr>
                <w:rFonts w:eastAsia="Times New Roman"/>
                <w:sz w:val="22"/>
                <w:szCs w:val="22"/>
              </w:rPr>
            </w:pPr>
            <w:r w:rsidRPr="00A464CF">
              <w:rPr>
                <w:rFonts w:eastAsia="Times New Roman"/>
                <w:sz w:val="22"/>
                <w:szCs w:val="22"/>
              </w:rPr>
              <w:t>- Trên địa bản cả nước hiện này cũng đã áp dụng các quy định về chuyển quyền sử dụng đất, đã có 674 dự án tại 29 tỉnh/thành phố trực thuộc trung ương đề nghị được chuyển quyền sử dụng đất đã đầu tư hạ tầng cho người dân tự xây dựng nhà ở (trong đó đã thụ lý 423 dự án) với tổng diện tích sử dụng đất của các dự án là 5.035 ha. Việc thực hiện quy định này đã góp phần tháo gỡ khó khăn cho các chủ đầu tư, giúp cho người dân có điều kiện cải thiện nhà ở qua đó cũng góp phần tháo gỡ khó khăn cho thị trường bất động sản.</w:t>
            </w:r>
          </w:p>
          <w:p w14:paraId="1AAD6A79" w14:textId="74AF1A23" w:rsidR="00FD5638" w:rsidRPr="00A464CF" w:rsidRDefault="00FD5638" w:rsidP="007337A3">
            <w:pPr>
              <w:jc w:val="both"/>
              <w:rPr>
                <w:rFonts w:eastAsia="Times New Roman"/>
                <w:sz w:val="22"/>
                <w:szCs w:val="22"/>
              </w:rPr>
            </w:pPr>
          </w:p>
        </w:tc>
        <w:tc>
          <w:tcPr>
            <w:tcW w:w="1306" w:type="dxa"/>
            <w:shd w:val="clear" w:color="auto" w:fill="auto"/>
            <w:vAlign w:val="center"/>
            <w:hideMark/>
          </w:tcPr>
          <w:p w14:paraId="09DA629A" w14:textId="77777777" w:rsidR="000F6F29" w:rsidRPr="00A464CF" w:rsidRDefault="000F6F29" w:rsidP="007337A3">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5F90D560" w14:textId="77777777" w:rsidTr="00AA2D1A">
        <w:trPr>
          <w:trHeight w:val="2259"/>
        </w:trPr>
        <w:tc>
          <w:tcPr>
            <w:tcW w:w="708" w:type="dxa"/>
            <w:shd w:val="clear" w:color="auto" w:fill="auto"/>
            <w:noWrap/>
            <w:vAlign w:val="center"/>
            <w:hideMark/>
          </w:tcPr>
          <w:p w14:paraId="5E0F4008" w14:textId="77777777" w:rsidR="000F6F29" w:rsidRPr="00A464CF" w:rsidRDefault="000F6F29" w:rsidP="007337A3">
            <w:pPr>
              <w:jc w:val="center"/>
              <w:rPr>
                <w:rFonts w:eastAsia="Times New Roman"/>
                <w:sz w:val="22"/>
                <w:szCs w:val="22"/>
              </w:rPr>
            </w:pPr>
            <w:r w:rsidRPr="00A464CF">
              <w:rPr>
                <w:rFonts w:eastAsia="Times New Roman"/>
                <w:sz w:val="22"/>
                <w:szCs w:val="22"/>
              </w:rPr>
              <w:lastRenderedPageBreak/>
              <w:t>8</w:t>
            </w:r>
          </w:p>
        </w:tc>
        <w:tc>
          <w:tcPr>
            <w:tcW w:w="5378" w:type="dxa"/>
            <w:shd w:val="clear" w:color="auto" w:fill="auto"/>
            <w:vAlign w:val="center"/>
            <w:hideMark/>
          </w:tcPr>
          <w:p w14:paraId="0A18536B" w14:textId="77777777" w:rsidR="000F6F29" w:rsidRPr="00A464CF" w:rsidRDefault="000F6F29" w:rsidP="007337A3">
            <w:pPr>
              <w:jc w:val="both"/>
              <w:rPr>
                <w:rFonts w:eastAsia="Times New Roman"/>
                <w:sz w:val="22"/>
                <w:szCs w:val="22"/>
              </w:rPr>
            </w:pPr>
            <w:r w:rsidRPr="00A464CF">
              <w:rPr>
                <w:rFonts w:eastAsia="Times New Roman"/>
                <w:sz w:val="22"/>
                <w:szCs w:val="22"/>
              </w:rPr>
              <w:t>Rà soát, đánh giá việc thực hiện, tiếp tục hoàn thiện pháp luật về bảo vệ môi trường, bảo tồn đa dạng sinh học; xây dựng Đề án về cơ chế đột phá huy động nguồn lực, thu hút đầu tư, xã hội hóa bảo vệ môi trường; thực hiện các giải pháp cần thiết nâng cao năng lực và hiệu quả thực thi pháp luật về bảo vệ môi trường, bảo tồn đa dạng sinh học; khoanh vùng, xử lý, cải tạo các khu vực bị ô nhiễm, trong đó chú trọng đến các khu vực ô nhiễm tồn lưu hóa chất, thuốc bảo vệ thực vật, đặc biệt quan tâm các khu vực trọng điểm; giám sát vấn đề ô nhiễm môi trường xuyên biên giới; ứng phó hiệu quả với biến đổi khí hậu</w:t>
            </w:r>
          </w:p>
        </w:tc>
        <w:tc>
          <w:tcPr>
            <w:tcW w:w="7771" w:type="dxa"/>
            <w:shd w:val="clear" w:color="auto" w:fill="auto"/>
            <w:vAlign w:val="center"/>
            <w:hideMark/>
          </w:tcPr>
          <w:p w14:paraId="6244E18C" w14:textId="77777777" w:rsidR="000F6F29" w:rsidRPr="00A464CF" w:rsidRDefault="000F6F29" w:rsidP="007337A3">
            <w:pPr>
              <w:jc w:val="both"/>
              <w:rPr>
                <w:rFonts w:eastAsia="Times New Roman"/>
                <w:sz w:val="22"/>
                <w:szCs w:val="22"/>
              </w:rPr>
            </w:pPr>
            <w:r w:rsidRPr="00A464CF">
              <w:rPr>
                <w:rFonts w:eastAsia="Times New Roman"/>
                <w:sz w:val="22"/>
                <w:szCs w:val="22"/>
              </w:rPr>
              <w:t>Bộ TNMT đã thành lập Ban chỉ đạo xây dựng Luật sửa đổi, bổ sung một số điều của các luật liên quan đến bảo vệ môi trường (Quyết định số 2217/QĐ-BTNMT ngày 13/9/2017); thực hiện rà soát, xây dựng Hồ sơ đề xuất sửa đổi, bổ sung một số điều của Luật Bảo vệ môi trường năm 2014 (Quyết định số 1022b/QĐ-TCMT ngày 11/9/2017); thành lập Ban soạn thảo, Tổ biên tập xây dựng Nghị định sửa đổi, bổ sung các Nghị định hướng dẫn thi hành Luật bảo vệ môi trường năm 2014 (Quyết định số 197/QĐ-TCMT ngày 14/3/2017). Bộ cũng triển khai rà soát toàn bộ hệ thống 44 quy chuẩn kỹ thuật quốc gia về môi trường, thông qua ý kiến của các chuyên gia, đã xác định được 24 quy chuẩn cần sửa đổi, trong đó có 17 quy chuẩn kỹ thuật quốc gia về môi trường cần ưu tiên sửa đổi (09 QCVN về nước thải, 07 QCVN về khí thải và 01 QCVN về chất thải rắn); 07 QCVN khác đã/đang được rà soát, sửa đổi. Bộ cũng đang triển khai xây dựng Đề án về cơ chế đột phá huy động nguồn, thu hút đầu tư, xã hội hóa hoạt động bảo vệ môi trường, trong đó, chú trọng đến thu gom, vận chuyển, xử lý chất thải rắn sinh hoạt</w:t>
            </w:r>
          </w:p>
        </w:tc>
        <w:tc>
          <w:tcPr>
            <w:tcW w:w="1306" w:type="dxa"/>
            <w:shd w:val="clear" w:color="auto" w:fill="auto"/>
            <w:vAlign w:val="center"/>
            <w:hideMark/>
          </w:tcPr>
          <w:p w14:paraId="078DA21D" w14:textId="77777777" w:rsidR="000F6F29" w:rsidRPr="00A464CF" w:rsidRDefault="000F6F29" w:rsidP="007337A3">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0FC7148E" w14:textId="77777777" w:rsidTr="00AA2D1A">
        <w:trPr>
          <w:trHeight w:val="802"/>
        </w:trPr>
        <w:tc>
          <w:tcPr>
            <w:tcW w:w="708" w:type="dxa"/>
            <w:shd w:val="clear" w:color="auto" w:fill="auto"/>
            <w:noWrap/>
            <w:vAlign w:val="center"/>
            <w:hideMark/>
          </w:tcPr>
          <w:p w14:paraId="5256AF79" w14:textId="77777777" w:rsidR="000F6F29" w:rsidRPr="00A464CF" w:rsidRDefault="000F6F29" w:rsidP="007337A3">
            <w:pPr>
              <w:jc w:val="center"/>
              <w:rPr>
                <w:rFonts w:eastAsia="Times New Roman"/>
                <w:sz w:val="22"/>
                <w:szCs w:val="22"/>
              </w:rPr>
            </w:pPr>
            <w:r w:rsidRPr="00A464CF">
              <w:rPr>
                <w:rFonts w:eastAsia="Times New Roman"/>
                <w:sz w:val="22"/>
                <w:szCs w:val="22"/>
              </w:rPr>
              <w:t>9</w:t>
            </w:r>
          </w:p>
        </w:tc>
        <w:tc>
          <w:tcPr>
            <w:tcW w:w="5378" w:type="dxa"/>
            <w:shd w:val="clear" w:color="auto" w:fill="auto"/>
            <w:vAlign w:val="center"/>
            <w:hideMark/>
          </w:tcPr>
          <w:p w14:paraId="62968880" w14:textId="77777777" w:rsidR="000F6F29" w:rsidRPr="00A464CF" w:rsidRDefault="000F6F29" w:rsidP="007337A3">
            <w:pPr>
              <w:jc w:val="both"/>
              <w:rPr>
                <w:rFonts w:eastAsia="Times New Roman"/>
                <w:sz w:val="22"/>
                <w:szCs w:val="22"/>
              </w:rPr>
            </w:pPr>
            <w:r w:rsidRPr="00A464CF">
              <w:rPr>
                <w:rFonts w:eastAsia="Times New Roman"/>
                <w:sz w:val="22"/>
                <w:szCs w:val="22"/>
              </w:rPr>
              <w:t>Nghiên cứu, sửa đổi Luật Cạnh tranh, trình Quốc hội trước tháng 12 năm 2017</w:t>
            </w:r>
          </w:p>
        </w:tc>
        <w:tc>
          <w:tcPr>
            <w:tcW w:w="7771" w:type="dxa"/>
            <w:shd w:val="clear" w:color="auto" w:fill="auto"/>
            <w:vAlign w:val="center"/>
            <w:hideMark/>
          </w:tcPr>
          <w:p w14:paraId="43FF84A5" w14:textId="77777777" w:rsidR="000F6F29" w:rsidRPr="00A464CF" w:rsidRDefault="000F6F29" w:rsidP="007337A3">
            <w:pPr>
              <w:jc w:val="both"/>
              <w:rPr>
                <w:rFonts w:eastAsia="Times New Roman"/>
                <w:sz w:val="22"/>
                <w:szCs w:val="22"/>
              </w:rPr>
            </w:pPr>
            <w:r w:rsidRPr="00A464CF">
              <w:rPr>
                <w:rFonts w:eastAsia="Times New Roman"/>
                <w:sz w:val="22"/>
                <w:szCs w:val="22"/>
              </w:rPr>
              <w:t>Quốc hội đã ban hành Luật Cạnh tranh (sửa đổi), Luật số 23/2018/QH14 ngày 12 tháng 6 năm 2018</w:t>
            </w:r>
          </w:p>
        </w:tc>
        <w:tc>
          <w:tcPr>
            <w:tcW w:w="1306" w:type="dxa"/>
            <w:shd w:val="clear" w:color="auto" w:fill="auto"/>
            <w:vAlign w:val="center"/>
            <w:hideMark/>
          </w:tcPr>
          <w:p w14:paraId="3C90883B" w14:textId="77777777" w:rsidR="000F6F29" w:rsidRPr="00A464CF" w:rsidRDefault="000F6F29" w:rsidP="007337A3">
            <w:pPr>
              <w:rPr>
                <w:rFonts w:eastAsia="Times New Roman"/>
                <w:sz w:val="22"/>
                <w:szCs w:val="22"/>
              </w:rPr>
            </w:pPr>
            <w:r w:rsidRPr="00A464CF">
              <w:rPr>
                <w:rFonts w:eastAsia="Times New Roman"/>
                <w:sz w:val="22"/>
                <w:szCs w:val="22"/>
              </w:rPr>
              <w:t>Đã triển khai và có kết quả rõ ràng</w:t>
            </w:r>
          </w:p>
        </w:tc>
      </w:tr>
      <w:tr w:rsidR="00A464CF" w:rsidRPr="00A464CF" w14:paraId="51A74BB4" w14:textId="77777777" w:rsidTr="00AA2D1A">
        <w:trPr>
          <w:trHeight w:val="591"/>
        </w:trPr>
        <w:tc>
          <w:tcPr>
            <w:tcW w:w="708" w:type="dxa"/>
            <w:shd w:val="clear" w:color="auto" w:fill="auto"/>
            <w:noWrap/>
            <w:vAlign w:val="center"/>
            <w:hideMark/>
          </w:tcPr>
          <w:p w14:paraId="636C4C3F" w14:textId="77777777" w:rsidR="000F6F29" w:rsidRPr="00A464CF" w:rsidRDefault="000F6F29" w:rsidP="007337A3">
            <w:pPr>
              <w:jc w:val="center"/>
              <w:rPr>
                <w:rFonts w:eastAsia="Times New Roman"/>
                <w:sz w:val="22"/>
                <w:szCs w:val="22"/>
              </w:rPr>
            </w:pPr>
            <w:r w:rsidRPr="00A464CF">
              <w:rPr>
                <w:rFonts w:eastAsia="Times New Roman"/>
                <w:sz w:val="22"/>
                <w:szCs w:val="22"/>
              </w:rPr>
              <w:t>10</w:t>
            </w:r>
          </w:p>
        </w:tc>
        <w:tc>
          <w:tcPr>
            <w:tcW w:w="5378" w:type="dxa"/>
            <w:shd w:val="clear" w:color="auto" w:fill="auto"/>
            <w:vAlign w:val="center"/>
            <w:hideMark/>
          </w:tcPr>
          <w:p w14:paraId="4CB603B9" w14:textId="77777777" w:rsidR="000F6F29" w:rsidRPr="00A464CF" w:rsidRDefault="000F6F29" w:rsidP="007337A3">
            <w:pPr>
              <w:jc w:val="both"/>
              <w:rPr>
                <w:rFonts w:eastAsia="Times New Roman"/>
                <w:sz w:val="22"/>
                <w:szCs w:val="22"/>
              </w:rPr>
            </w:pPr>
            <w:r w:rsidRPr="00A464CF">
              <w:rPr>
                <w:rFonts w:eastAsia="Times New Roman"/>
                <w:sz w:val="22"/>
                <w:szCs w:val="22"/>
              </w:rPr>
              <w:t>Xây dựng Luật sửa đổi, bổ sung một số điều của Bộ luật Lao động năm 2012, trình Quốc hội trong năm 2017</w:t>
            </w:r>
          </w:p>
        </w:tc>
        <w:tc>
          <w:tcPr>
            <w:tcW w:w="7771" w:type="dxa"/>
            <w:shd w:val="clear" w:color="auto" w:fill="auto"/>
            <w:vAlign w:val="center"/>
            <w:hideMark/>
          </w:tcPr>
          <w:p w14:paraId="7DB9AD31" w14:textId="6838C9D2" w:rsidR="000F6F29" w:rsidRPr="00A464CF" w:rsidRDefault="004131B4" w:rsidP="007337A3">
            <w:pPr>
              <w:jc w:val="both"/>
              <w:rPr>
                <w:rFonts w:eastAsia="Times New Roman"/>
                <w:sz w:val="22"/>
                <w:szCs w:val="22"/>
              </w:rPr>
            </w:pPr>
            <w:r w:rsidRPr="00A464CF">
              <w:rPr>
                <w:rFonts w:eastAsia="Times New Roman"/>
                <w:sz w:val="22"/>
                <w:szCs w:val="22"/>
              </w:rPr>
              <w:t xml:space="preserve">Quốc hội đã thông qua Bộ Luật Lao động (Luật số 45/2019/QH14 ngày 20/11/2019, có hiệu lực thi hành từ ngày 01/01/2021 </w:t>
            </w:r>
          </w:p>
        </w:tc>
        <w:tc>
          <w:tcPr>
            <w:tcW w:w="1306" w:type="dxa"/>
            <w:shd w:val="clear" w:color="auto" w:fill="auto"/>
            <w:vAlign w:val="center"/>
            <w:hideMark/>
          </w:tcPr>
          <w:p w14:paraId="57361A99" w14:textId="77777777" w:rsidR="000F6F29" w:rsidRPr="00A464CF" w:rsidRDefault="000F6F29" w:rsidP="007337A3">
            <w:pPr>
              <w:rPr>
                <w:rFonts w:eastAsia="Times New Roman"/>
                <w:sz w:val="22"/>
                <w:szCs w:val="22"/>
              </w:rPr>
            </w:pPr>
            <w:r w:rsidRPr="00A464CF">
              <w:rPr>
                <w:rFonts w:eastAsia="Times New Roman"/>
                <w:sz w:val="22"/>
                <w:szCs w:val="22"/>
              </w:rPr>
              <w:t>Đã triển khai và có kết quả rõ ràng</w:t>
            </w:r>
          </w:p>
        </w:tc>
      </w:tr>
      <w:tr w:rsidR="00A464CF" w:rsidRPr="00A464CF" w14:paraId="38373329" w14:textId="77777777" w:rsidTr="00AA2D1A">
        <w:trPr>
          <w:trHeight w:val="492"/>
        </w:trPr>
        <w:tc>
          <w:tcPr>
            <w:tcW w:w="708" w:type="dxa"/>
            <w:shd w:val="clear" w:color="auto" w:fill="auto"/>
            <w:noWrap/>
            <w:vAlign w:val="center"/>
            <w:hideMark/>
          </w:tcPr>
          <w:p w14:paraId="1A10165A" w14:textId="77777777" w:rsidR="000F6F29" w:rsidRPr="00A464CF" w:rsidRDefault="000F6F29" w:rsidP="007337A3">
            <w:pPr>
              <w:jc w:val="center"/>
              <w:rPr>
                <w:rFonts w:eastAsia="Times New Roman"/>
                <w:sz w:val="22"/>
                <w:szCs w:val="22"/>
              </w:rPr>
            </w:pPr>
            <w:r w:rsidRPr="00A464CF">
              <w:rPr>
                <w:rFonts w:eastAsia="Times New Roman"/>
                <w:sz w:val="22"/>
                <w:szCs w:val="22"/>
              </w:rPr>
              <w:t>11</w:t>
            </w:r>
          </w:p>
        </w:tc>
        <w:tc>
          <w:tcPr>
            <w:tcW w:w="5378" w:type="dxa"/>
            <w:shd w:val="clear" w:color="auto" w:fill="auto"/>
            <w:vAlign w:val="center"/>
            <w:hideMark/>
          </w:tcPr>
          <w:p w14:paraId="76364BFD" w14:textId="77777777" w:rsidR="000F6F29" w:rsidRPr="00A464CF" w:rsidRDefault="000F6F29" w:rsidP="007337A3">
            <w:pPr>
              <w:jc w:val="both"/>
              <w:rPr>
                <w:rFonts w:eastAsia="Times New Roman"/>
                <w:sz w:val="22"/>
                <w:szCs w:val="22"/>
              </w:rPr>
            </w:pPr>
            <w:r w:rsidRPr="00A464CF">
              <w:rPr>
                <w:rFonts w:eastAsia="Times New Roman"/>
                <w:sz w:val="22"/>
                <w:szCs w:val="22"/>
              </w:rPr>
              <w:t>Xây dựng hệ thống công cụ để quản lý kiểm soát sự phát triển của thị trường bất động sản theo hướng ổn định bền vững với cấu trúc hoàn chỉnh và đồng bộ, kết nối liên thông với các thị trường khác của nền kinh tế, bảo đảm khai thác và sử dụng hiệu quả, tiết kiệm các nguồn lực đầu tư phát triển bất động sản, nhất là đất đai; chủ động xây dựng các kịch bản và các giải pháp quản lý điều tiết, kiểm soát, bình ổn thị trường</w:t>
            </w:r>
          </w:p>
        </w:tc>
        <w:tc>
          <w:tcPr>
            <w:tcW w:w="7771" w:type="dxa"/>
            <w:shd w:val="clear" w:color="auto" w:fill="auto"/>
            <w:vAlign w:val="center"/>
            <w:hideMark/>
          </w:tcPr>
          <w:p w14:paraId="1C0E2C30" w14:textId="77777777" w:rsidR="000F6F29" w:rsidRPr="00A464CF" w:rsidRDefault="000F6F29" w:rsidP="007337A3">
            <w:pPr>
              <w:jc w:val="both"/>
              <w:rPr>
                <w:rFonts w:eastAsia="Times New Roman"/>
                <w:sz w:val="22"/>
                <w:szCs w:val="22"/>
              </w:rPr>
            </w:pPr>
            <w:r w:rsidRPr="00A464CF">
              <w:rPr>
                <w:rFonts w:eastAsia="Times New Roman"/>
                <w:sz w:val="22"/>
                <w:szCs w:val="22"/>
              </w:rPr>
              <w:t>Bộ Xây dựng đang triển khai xây dựng, quản lý vận hành hệ thống thông tin về nhà ở và thị trường bất động sản theo nhiệm vụ được giao tại Nghị định số 117/2015/NĐ-CP của Chính phủ về xây dựng, quản lý và sử dụng hệ thống thông tin về nhà ở và thị trường bất động sản. Đồng thời, thường xuyên đôn đốc, kiểm tra, hướng dẫn các Bộ, ngành, địa phương về xây dựng, quản lý, khai thác, sử dụng, cập nhật hệ thống cơ sở dữ liệu về nhà ở và thị trường bất động sản theo quy định.</w:t>
            </w:r>
          </w:p>
        </w:tc>
        <w:tc>
          <w:tcPr>
            <w:tcW w:w="1306" w:type="dxa"/>
            <w:shd w:val="clear" w:color="auto" w:fill="auto"/>
            <w:vAlign w:val="center"/>
            <w:hideMark/>
          </w:tcPr>
          <w:p w14:paraId="66C1E9E7" w14:textId="77777777" w:rsidR="000F6F29" w:rsidRPr="00A464CF" w:rsidRDefault="000F6F29" w:rsidP="007337A3">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3ECC31A2" w14:textId="77777777" w:rsidTr="00AA2D1A">
        <w:trPr>
          <w:trHeight w:val="133"/>
        </w:trPr>
        <w:tc>
          <w:tcPr>
            <w:tcW w:w="708" w:type="dxa"/>
            <w:shd w:val="clear" w:color="auto" w:fill="auto"/>
            <w:noWrap/>
            <w:vAlign w:val="center"/>
            <w:hideMark/>
          </w:tcPr>
          <w:p w14:paraId="38B2897B" w14:textId="77777777" w:rsidR="000F6F29" w:rsidRPr="00A464CF" w:rsidRDefault="000F6F29" w:rsidP="007337A3">
            <w:pPr>
              <w:jc w:val="center"/>
              <w:rPr>
                <w:rFonts w:eastAsia="Times New Roman"/>
                <w:sz w:val="22"/>
                <w:szCs w:val="22"/>
              </w:rPr>
            </w:pPr>
            <w:r w:rsidRPr="00A464CF">
              <w:rPr>
                <w:rFonts w:eastAsia="Times New Roman"/>
                <w:sz w:val="22"/>
                <w:szCs w:val="22"/>
              </w:rPr>
              <w:t>12</w:t>
            </w:r>
          </w:p>
        </w:tc>
        <w:tc>
          <w:tcPr>
            <w:tcW w:w="5378" w:type="dxa"/>
            <w:shd w:val="clear" w:color="auto" w:fill="auto"/>
            <w:vAlign w:val="center"/>
            <w:hideMark/>
          </w:tcPr>
          <w:p w14:paraId="34510881" w14:textId="77777777" w:rsidR="000F6F29" w:rsidRPr="00A464CF" w:rsidRDefault="000F6F29" w:rsidP="007337A3">
            <w:pPr>
              <w:jc w:val="both"/>
              <w:rPr>
                <w:rFonts w:eastAsia="Times New Roman"/>
                <w:sz w:val="22"/>
                <w:szCs w:val="22"/>
              </w:rPr>
            </w:pPr>
            <w:r w:rsidRPr="00A464CF">
              <w:rPr>
                <w:rFonts w:eastAsia="Times New Roman"/>
                <w:sz w:val="22"/>
                <w:szCs w:val="22"/>
              </w:rPr>
              <w:t>Xây dựng Đề án đánh giá tình hình, dự báo xu hướng, đề xuất các cơ chế chính sách, giải pháp thúc đẩy thị trường bất động sản phát triển ổn định, lành mạnh trong năm 2017</w:t>
            </w:r>
          </w:p>
        </w:tc>
        <w:tc>
          <w:tcPr>
            <w:tcW w:w="7771" w:type="dxa"/>
            <w:shd w:val="clear" w:color="auto" w:fill="auto"/>
            <w:vAlign w:val="center"/>
            <w:hideMark/>
          </w:tcPr>
          <w:p w14:paraId="23C00805" w14:textId="3384A58C" w:rsidR="000F6F29" w:rsidRPr="00A464CF" w:rsidRDefault="000F6F29" w:rsidP="007337A3">
            <w:pPr>
              <w:jc w:val="both"/>
              <w:rPr>
                <w:rFonts w:eastAsia="Times New Roman"/>
                <w:sz w:val="22"/>
                <w:szCs w:val="22"/>
              </w:rPr>
            </w:pPr>
            <w:r w:rsidRPr="00A464CF">
              <w:rPr>
                <w:rFonts w:eastAsia="Times New Roman"/>
                <w:sz w:val="22"/>
                <w:szCs w:val="22"/>
              </w:rPr>
              <w:t>Đề án đã được Thủ tướng Chính phủ thông qua và s</w:t>
            </w:r>
            <w:r w:rsidR="00167578" w:rsidRPr="00A464CF">
              <w:rPr>
                <w:rFonts w:eastAsia="Times New Roman"/>
                <w:sz w:val="22"/>
                <w:szCs w:val="22"/>
              </w:rPr>
              <w:t>ẽ được triển khai</w:t>
            </w:r>
          </w:p>
        </w:tc>
        <w:tc>
          <w:tcPr>
            <w:tcW w:w="1306" w:type="dxa"/>
            <w:shd w:val="clear" w:color="auto" w:fill="auto"/>
            <w:vAlign w:val="center"/>
            <w:hideMark/>
          </w:tcPr>
          <w:p w14:paraId="1900626A" w14:textId="77777777" w:rsidR="000F6F29" w:rsidRPr="00A464CF" w:rsidRDefault="000F6F29" w:rsidP="007337A3">
            <w:pPr>
              <w:rPr>
                <w:rFonts w:eastAsia="Times New Roman"/>
                <w:sz w:val="22"/>
                <w:szCs w:val="22"/>
              </w:rPr>
            </w:pPr>
            <w:r w:rsidRPr="00A464CF">
              <w:rPr>
                <w:rFonts w:eastAsia="Times New Roman"/>
                <w:sz w:val="22"/>
                <w:szCs w:val="22"/>
              </w:rPr>
              <w:t>Đã triển khai và có kết quả rõ ràng</w:t>
            </w:r>
          </w:p>
        </w:tc>
      </w:tr>
      <w:tr w:rsidR="00A464CF" w:rsidRPr="00A464CF" w14:paraId="45B3313E" w14:textId="77777777" w:rsidTr="00AA2D1A">
        <w:trPr>
          <w:trHeight w:val="1283"/>
        </w:trPr>
        <w:tc>
          <w:tcPr>
            <w:tcW w:w="708" w:type="dxa"/>
            <w:shd w:val="clear" w:color="auto" w:fill="auto"/>
            <w:noWrap/>
            <w:vAlign w:val="center"/>
            <w:hideMark/>
          </w:tcPr>
          <w:p w14:paraId="3A98E560" w14:textId="77777777" w:rsidR="000F6F29" w:rsidRPr="00A464CF" w:rsidRDefault="000F6F29" w:rsidP="007337A3">
            <w:pPr>
              <w:jc w:val="center"/>
              <w:rPr>
                <w:rFonts w:eastAsia="Times New Roman"/>
                <w:sz w:val="22"/>
                <w:szCs w:val="22"/>
              </w:rPr>
            </w:pPr>
            <w:r w:rsidRPr="00A464CF">
              <w:rPr>
                <w:rFonts w:eastAsia="Times New Roman"/>
                <w:sz w:val="22"/>
                <w:szCs w:val="22"/>
              </w:rPr>
              <w:lastRenderedPageBreak/>
              <w:t>13</w:t>
            </w:r>
          </w:p>
        </w:tc>
        <w:tc>
          <w:tcPr>
            <w:tcW w:w="5378" w:type="dxa"/>
            <w:shd w:val="clear" w:color="auto" w:fill="auto"/>
            <w:vAlign w:val="center"/>
            <w:hideMark/>
          </w:tcPr>
          <w:p w14:paraId="16A45F55" w14:textId="77777777" w:rsidR="000F6F29" w:rsidRPr="00A464CF" w:rsidRDefault="000F6F29" w:rsidP="007337A3">
            <w:pPr>
              <w:jc w:val="both"/>
              <w:rPr>
                <w:rFonts w:eastAsia="Times New Roman"/>
                <w:sz w:val="22"/>
                <w:szCs w:val="22"/>
              </w:rPr>
            </w:pPr>
            <w:r w:rsidRPr="00A464CF">
              <w:rPr>
                <w:rFonts w:eastAsia="Times New Roman"/>
                <w:sz w:val="22"/>
                <w:szCs w:val="22"/>
              </w:rPr>
              <w:t>Tiếp tục vận động các nước công nhận kinh tế thị trường cho Việt Nam</w:t>
            </w:r>
          </w:p>
        </w:tc>
        <w:tc>
          <w:tcPr>
            <w:tcW w:w="7771" w:type="dxa"/>
            <w:shd w:val="clear" w:color="auto" w:fill="auto"/>
            <w:vAlign w:val="center"/>
            <w:hideMark/>
          </w:tcPr>
          <w:p w14:paraId="27DF66BA" w14:textId="65A36D9B" w:rsidR="000F6F29" w:rsidRPr="00A464CF" w:rsidRDefault="000F6F29" w:rsidP="007337A3">
            <w:pPr>
              <w:jc w:val="both"/>
              <w:rPr>
                <w:rFonts w:eastAsia="Times New Roman"/>
                <w:sz w:val="22"/>
                <w:szCs w:val="22"/>
              </w:rPr>
            </w:pPr>
            <w:r w:rsidRPr="00A464CF">
              <w:rPr>
                <w:rFonts w:eastAsia="Times New Roman"/>
                <w:sz w:val="22"/>
                <w:szCs w:val="22"/>
              </w:rPr>
              <w:t xml:space="preserve">Bộ Ngoại giao đã đẩy mạnh vận động các nước khác, nhất là tại Trung Á, Trung Đông, Mỹ La tinh công nhận Việt Nam, tập trung vào các nước có kỷ niệm năm tròn, năm chẵn ngày thiết lập quan hệ ngoại giao và trao đổi đoàn cấp cao; một số nước đã phản ứng tích cực và cho biết đang hoàn tất thủ tục nội bộ để công nhận. </w:t>
            </w:r>
            <w:r w:rsidR="00CE37EF" w:rsidRPr="00A464CF">
              <w:rPr>
                <w:rFonts w:eastAsia="Times New Roman"/>
                <w:sz w:val="22"/>
                <w:szCs w:val="22"/>
              </w:rPr>
              <w:t>Đến cuối năm 2019, đã vận động thành công 71 đối tác chính thức công nhận quy chế kinh tế thị trường của Việt Nam và đã vận động Mỹ nhất trí đưa nội dung về kinh tế thị trường của Việt Nam vào các Tuyên bố chung.</w:t>
            </w:r>
            <w:r w:rsidRPr="00A464CF">
              <w:rPr>
                <w:rFonts w:eastAsia="Times New Roman"/>
                <w:sz w:val="22"/>
                <w:szCs w:val="22"/>
              </w:rPr>
              <w:t>Bộ cũng đã chủ động phối hợp với các Bộ, ngành xây dựng chủ trương tham gia với tư cách là bên thứ 3 trong vụ kiện của Trung Quốc với EU và Hoa Kỳ lên WTO về vấn đề kinh tế thị trường</w:t>
            </w:r>
          </w:p>
          <w:p w14:paraId="3AE9EFFC" w14:textId="0E2DB198" w:rsidR="00CE37EF" w:rsidRPr="00A464CF" w:rsidRDefault="00CE37EF" w:rsidP="007337A3">
            <w:pPr>
              <w:jc w:val="both"/>
              <w:rPr>
                <w:rFonts w:eastAsia="Times New Roman"/>
                <w:sz w:val="22"/>
                <w:szCs w:val="22"/>
              </w:rPr>
            </w:pPr>
          </w:p>
        </w:tc>
        <w:tc>
          <w:tcPr>
            <w:tcW w:w="1306" w:type="dxa"/>
            <w:shd w:val="clear" w:color="auto" w:fill="auto"/>
            <w:vAlign w:val="center"/>
            <w:hideMark/>
          </w:tcPr>
          <w:p w14:paraId="3BA8618D" w14:textId="77777777" w:rsidR="000F6F29" w:rsidRPr="00A464CF" w:rsidRDefault="000F6F29" w:rsidP="007337A3">
            <w:pPr>
              <w:rPr>
                <w:rFonts w:eastAsia="Times New Roman"/>
                <w:sz w:val="22"/>
                <w:szCs w:val="22"/>
              </w:rPr>
            </w:pPr>
            <w:r w:rsidRPr="00A464CF">
              <w:rPr>
                <w:rFonts w:eastAsia="Times New Roman"/>
                <w:sz w:val="22"/>
                <w:szCs w:val="22"/>
              </w:rPr>
              <w:t>Đã triển khai và có kết quả rõ ràng</w:t>
            </w:r>
          </w:p>
        </w:tc>
      </w:tr>
      <w:tr w:rsidR="00A464CF" w:rsidRPr="00A464CF" w14:paraId="6FF8D354" w14:textId="77777777" w:rsidTr="00AA2D1A">
        <w:trPr>
          <w:trHeight w:val="3518"/>
        </w:trPr>
        <w:tc>
          <w:tcPr>
            <w:tcW w:w="708" w:type="dxa"/>
            <w:shd w:val="clear" w:color="auto" w:fill="auto"/>
            <w:noWrap/>
            <w:vAlign w:val="center"/>
            <w:hideMark/>
          </w:tcPr>
          <w:p w14:paraId="0674FB42" w14:textId="77777777" w:rsidR="000F6F29" w:rsidRPr="00A464CF" w:rsidRDefault="000F6F29" w:rsidP="007337A3">
            <w:pPr>
              <w:jc w:val="right"/>
              <w:rPr>
                <w:rFonts w:eastAsia="Times New Roman"/>
                <w:sz w:val="22"/>
                <w:szCs w:val="22"/>
              </w:rPr>
            </w:pPr>
            <w:r w:rsidRPr="00A464CF">
              <w:rPr>
                <w:rFonts w:eastAsia="Times New Roman"/>
                <w:sz w:val="22"/>
                <w:szCs w:val="22"/>
              </w:rPr>
              <w:t>14</w:t>
            </w:r>
          </w:p>
        </w:tc>
        <w:tc>
          <w:tcPr>
            <w:tcW w:w="5378" w:type="dxa"/>
            <w:shd w:val="clear" w:color="auto" w:fill="auto"/>
            <w:vAlign w:val="center"/>
            <w:hideMark/>
          </w:tcPr>
          <w:p w14:paraId="50D7BD63" w14:textId="77777777" w:rsidR="000F6F29" w:rsidRPr="00A464CF" w:rsidRDefault="000F6F29" w:rsidP="007337A3">
            <w:pPr>
              <w:jc w:val="both"/>
              <w:rPr>
                <w:rFonts w:eastAsia="Times New Roman"/>
                <w:sz w:val="22"/>
                <w:szCs w:val="22"/>
              </w:rPr>
            </w:pPr>
            <w:r w:rsidRPr="00A464CF">
              <w:rPr>
                <w:rFonts w:eastAsia="Times New Roman"/>
                <w:sz w:val="22"/>
                <w:szCs w:val="22"/>
              </w:rPr>
              <w:t>Nghiên cứu sửa đổi, bổ sung pháp luật về lao động, hộ khẩu, quyền sử dụng đất nông nghiệp và quyền tiếp cận dịch vụ công, tạo thuận lợi cho việc định cư và dịch chuyển lao động trong nước</w:t>
            </w:r>
          </w:p>
        </w:tc>
        <w:tc>
          <w:tcPr>
            <w:tcW w:w="7771" w:type="dxa"/>
            <w:shd w:val="clear" w:color="auto" w:fill="auto"/>
            <w:vAlign w:val="center"/>
            <w:hideMark/>
          </w:tcPr>
          <w:p w14:paraId="2978E113" w14:textId="5192C75F" w:rsidR="00CE37EF" w:rsidRPr="00A464CF" w:rsidRDefault="00CE37EF" w:rsidP="007337A3">
            <w:pPr>
              <w:jc w:val="both"/>
              <w:rPr>
                <w:rFonts w:eastAsia="Times New Roman"/>
                <w:sz w:val="22"/>
                <w:szCs w:val="22"/>
              </w:rPr>
            </w:pPr>
            <w:r w:rsidRPr="00A464CF">
              <w:rPr>
                <w:rFonts w:eastAsia="Times New Roman"/>
                <w:sz w:val="22"/>
                <w:szCs w:val="22"/>
              </w:rPr>
              <w:t>Pháp luật về lao động tiếp tục được bổ sung, hoàn thiện. Chính phủ đã ban hành Nghị quyết số 93/NQ-CP ngày 26/9/2017 về việc đơn giản hóa thủ tục hành chính, giấy tờ công dân theo Đề án 896 thuộc phạm vi chức năng quản lý nhà nước của Bộ Lao động, Thương binh và Xã hội. Pháp luật về lao động tiếp tục được sửa đổi. Chính phủ đã thực hiện đơn giản hóa hàng chục thủ tục hành chính, giấy tờ công dân liên quan đến quản lý dân cư. Bộ Tư pháp đang nghiên cứu, xem xét sửa đổi Nghị định số 123/2015/NĐ-CP liên quan đến quản lý hộ tịch, nhằm tạo thuận lợi cho người dân.</w:t>
            </w:r>
          </w:p>
          <w:p w14:paraId="7F895175" w14:textId="019EB388" w:rsidR="00CE37EF" w:rsidRPr="00A464CF" w:rsidRDefault="000F6F29" w:rsidP="007337A3">
            <w:pPr>
              <w:jc w:val="both"/>
              <w:rPr>
                <w:rFonts w:eastAsia="Times New Roman"/>
                <w:sz w:val="22"/>
                <w:szCs w:val="22"/>
              </w:rPr>
            </w:pPr>
            <w:r w:rsidRPr="00A464CF">
              <w:rPr>
                <w:rFonts w:eastAsia="Times New Roman"/>
                <w:sz w:val="22"/>
                <w:szCs w:val="22"/>
              </w:rPr>
              <w:t>.</w:t>
            </w:r>
          </w:p>
        </w:tc>
        <w:tc>
          <w:tcPr>
            <w:tcW w:w="1306" w:type="dxa"/>
            <w:shd w:val="clear" w:color="auto" w:fill="auto"/>
            <w:vAlign w:val="center"/>
            <w:hideMark/>
          </w:tcPr>
          <w:p w14:paraId="5206F52E" w14:textId="77777777" w:rsidR="000F6F29" w:rsidRPr="00A464CF" w:rsidRDefault="000F6F29" w:rsidP="007337A3">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3F9E96A0" w14:textId="77777777" w:rsidTr="00AA2D1A">
        <w:trPr>
          <w:trHeight w:val="279"/>
        </w:trPr>
        <w:tc>
          <w:tcPr>
            <w:tcW w:w="708" w:type="dxa"/>
            <w:shd w:val="clear" w:color="auto" w:fill="auto"/>
            <w:noWrap/>
            <w:vAlign w:val="center"/>
            <w:hideMark/>
          </w:tcPr>
          <w:p w14:paraId="37D033C1" w14:textId="77777777" w:rsidR="000F6F29" w:rsidRPr="00A464CF" w:rsidRDefault="000F6F29" w:rsidP="007337A3">
            <w:pPr>
              <w:jc w:val="center"/>
              <w:rPr>
                <w:rFonts w:eastAsia="Times New Roman"/>
                <w:b/>
                <w:bCs/>
                <w:i/>
                <w:iCs/>
                <w:sz w:val="22"/>
                <w:szCs w:val="22"/>
              </w:rPr>
            </w:pPr>
            <w:r w:rsidRPr="00A464CF">
              <w:rPr>
                <w:rFonts w:eastAsia="Times New Roman"/>
                <w:b/>
                <w:bCs/>
                <w:i/>
                <w:iCs/>
                <w:sz w:val="22"/>
                <w:szCs w:val="22"/>
              </w:rPr>
              <w:t>III</w:t>
            </w:r>
          </w:p>
        </w:tc>
        <w:tc>
          <w:tcPr>
            <w:tcW w:w="14455" w:type="dxa"/>
            <w:gridSpan w:val="3"/>
            <w:shd w:val="clear" w:color="auto" w:fill="auto"/>
            <w:vAlign w:val="center"/>
            <w:hideMark/>
          </w:tcPr>
          <w:p w14:paraId="495E3EDE" w14:textId="77777777" w:rsidR="000F6F29" w:rsidRPr="00A464CF" w:rsidRDefault="000F6F29" w:rsidP="007337A3">
            <w:pPr>
              <w:rPr>
                <w:rFonts w:eastAsia="Times New Roman"/>
                <w:b/>
                <w:bCs/>
                <w:i/>
                <w:iCs/>
                <w:sz w:val="22"/>
                <w:szCs w:val="22"/>
              </w:rPr>
            </w:pPr>
            <w:r w:rsidRPr="00A464CF">
              <w:rPr>
                <w:rFonts w:eastAsia="Times New Roman"/>
                <w:b/>
                <w:bCs/>
                <w:i/>
                <w:iCs/>
                <w:sz w:val="22"/>
                <w:szCs w:val="22"/>
              </w:rPr>
              <w:t>Tiếp tục đẩy mạnh phát triển kết cấu hạ tầng kinh tế - xã hội đồng bộ, hiện đại</w:t>
            </w:r>
          </w:p>
        </w:tc>
      </w:tr>
      <w:tr w:rsidR="00A464CF" w:rsidRPr="00A464CF" w14:paraId="7C15AF08" w14:textId="77777777" w:rsidTr="00AA2D1A">
        <w:trPr>
          <w:trHeight w:val="967"/>
        </w:trPr>
        <w:tc>
          <w:tcPr>
            <w:tcW w:w="708" w:type="dxa"/>
            <w:shd w:val="clear" w:color="auto" w:fill="auto"/>
            <w:noWrap/>
            <w:vAlign w:val="center"/>
            <w:hideMark/>
          </w:tcPr>
          <w:p w14:paraId="42055902" w14:textId="77777777" w:rsidR="0058412C" w:rsidRPr="00A464CF" w:rsidRDefault="0058412C" w:rsidP="0058412C">
            <w:pPr>
              <w:jc w:val="center"/>
              <w:rPr>
                <w:rFonts w:eastAsia="Times New Roman"/>
                <w:sz w:val="22"/>
                <w:szCs w:val="22"/>
              </w:rPr>
            </w:pPr>
            <w:r w:rsidRPr="00A464CF">
              <w:rPr>
                <w:rFonts w:eastAsia="Times New Roman"/>
                <w:sz w:val="22"/>
                <w:szCs w:val="22"/>
              </w:rPr>
              <w:t>1</w:t>
            </w:r>
          </w:p>
        </w:tc>
        <w:tc>
          <w:tcPr>
            <w:tcW w:w="5378" w:type="dxa"/>
            <w:shd w:val="clear" w:color="auto" w:fill="auto"/>
            <w:vAlign w:val="center"/>
            <w:hideMark/>
          </w:tcPr>
          <w:p w14:paraId="6234763E" w14:textId="77777777" w:rsidR="0058412C" w:rsidRPr="00A464CF" w:rsidRDefault="0058412C" w:rsidP="0058412C">
            <w:pPr>
              <w:jc w:val="both"/>
              <w:rPr>
                <w:rFonts w:eastAsia="Times New Roman"/>
                <w:sz w:val="22"/>
                <w:szCs w:val="22"/>
              </w:rPr>
            </w:pPr>
            <w:r w:rsidRPr="00A464CF">
              <w:rPr>
                <w:rFonts w:eastAsia="Times New Roman"/>
                <w:sz w:val="22"/>
                <w:szCs w:val="22"/>
              </w:rPr>
              <w:t>Rà soát kiến nghị bổ sung, điều chỉnh quy hoạch xây dựng hệ thống kết cấu hạ tầng kinh tế - xã hội, bảo đảm hiệu quả tổng hợp và tính hệ thống, nhất là mạng lưới giao thông, điện, nước, thủy lợi, giáo dục, y tế, hạ tầng viễn thông và công nghệ thông tin, thu gom và xử lý chất thải rắn, quy hoạch bảo vệ môi trường; rà soát, kiến nghị điều chỉnh, bổ sung quy hoạch hạ tầng kỹ thuật đô thị</w:t>
            </w:r>
          </w:p>
        </w:tc>
        <w:tc>
          <w:tcPr>
            <w:tcW w:w="7771" w:type="dxa"/>
            <w:shd w:val="clear" w:color="auto" w:fill="auto"/>
            <w:vAlign w:val="center"/>
            <w:hideMark/>
          </w:tcPr>
          <w:p w14:paraId="5EFFF72A" w14:textId="77777777" w:rsidR="0058412C" w:rsidRPr="00A464CF" w:rsidRDefault="0058412C" w:rsidP="0058412C">
            <w:pPr>
              <w:keepLines/>
              <w:rPr>
                <w:rFonts w:eastAsia="Times New Roman"/>
                <w:spacing w:val="-6"/>
                <w:sz w:val="22"/>
              </w:rPr>
            </w:pPr>
            <w:r w:rsidRPr="00A464CF">
              <w:rPr>
                <w:rFonts w:eastAsia="Times New Roman"/>
                <w:spacing w:val="-6"/>
                <w:sz w:val="22"/>
              </w:rPr>
              <w:t>- Luật Bảo vệ môi trường sửa đổi đã được Quốc hội thông qua ngày 17/11/2020</w:t>
            </w:r>
          </w:p>
          <w:p w14:paraId="1CB9F72D" w14:textId="77777777" w:rsidR="0058412C" w:rsidRPr="00A464CF" w:rsidRDefault="0058412C" w:rsidP="0058412C">
            <w:pPr>
              <w:keepLines/>
              <w:rPr>
                <w:rFonts w:eastAsia="Times New Roman"/>
                <w:sz w:val="22"/>
              </w:rPr>
            </w:pPr>
            <w:r w:rsidRPr="00A464CF">
              <w:rPr>
                <w:rFonts w:eastAsia="Times New Roman"/>
                <w:spacing w:val="-6"/>
                <w:sz w:val="22"/>
              </w:rPr>
              <w:t xml:space="preserve">- </w:t>
            </w:r>
            <w:r w:rsidRPr="00A464CF">
              <w:rPr>
                <w:rFonts w:eastAsia="Times New Roman"/>
                <w:sz w:val="22"/>
              </w:rPr>
              <w:t xml:space="preserve">Hầu hết các Bộ, ngành đã chủ động rà soát, hoàn thiện quy hoạch xây dựng kết cấu hạ tầng thuộc phạm vi quản lý, đặc biệt trong lĩnh vực xây dựng và hạ tầng giao thông. </w:t>
            </w:r>
          </w:p>
          <w:p w14:paraId="254C48EC" w14:textId="77777777" w:rsidR="0058412C" w:rsidRPr="00A464CF" w:rsidRDefault="0058412C" w:rsidP="0058412C">
            <w:pPr>
              <w:keepLines/>
              <w:rPr>
                <w:rFonts w:eastAsia="Times New Roman"/>
                <w:sz w:val="22"/>
              </w:rPr>
            </w:pPr>
            <w:r w:rsidRPr="00A464CF">
              <w:rPr>
                <w:rFonts w:eastAsia="Times New Roman"/>
                <w:sz w:val="22"/>
              </w:rPr>
              <w:t>- Đối với các hạ tầng kỹ thuật khác, giai đoạn 2016 – 2020, Bộ Xây dựng đã tham mưu trình Chính phủ ban hành 01 Nghị định và trình Thủ tướng Chính phủ ban hành 04 định hướng, chiến lược, chương trình về lĩnh vực  hạ tầng kỹ thuật</w:t>
            </w:r>
            <w:r w:rsidRPr="00A464CF">
              <w:rPr>
                <w:rFonts w:eastAsia="Times New Roman"/>
                <w:sz w:val="22"/>
                <w:vertAlign w:val="superscript"/>
              </w:rPr>
              <w:footnoteReference w:id="1"/>
            </w:r>
            <w:r w:rsidRPr="00A464CF">
              <w:rPr>
                <w:rFonts w:eastAsia="Times New Roman"/>
                <w:sz w:val="22"/>
              </w:rPr>
              <w:t>.</w:t>
            </w:r>
          </w:p>
          <w:p w14:paraId="7A965BD3" w14:textId="77777777" w:rsidR="0058412C" w:rsidRPr="00A464CF" w:rsidRDefault="0058412C" w:rsidP="0058412C">
            <w:pPr>
              <w:keepLines/>
              <w:rPr>
                <w:rFonts w:eastAsia="Times New Roman"/>
                <w:sz w:val="22"/>
              </w:rPr>
            </w:pPr>
            <w:r w:rsidRPr="00A464CF">
              <w:rPr>
                <w:rFonts w:eastAsia="Times New Roman"/>
                <w:sz w:val="22"/>
              </w:rPr>
              <w:lastRenderedPageBreak/>
              <w:t>- Việc lập đề án, tổ chức thẩm định, công nhận loại đô thị được triển khai thực hiện theo Nghị quyết 1210/2016/UBTVQH13 của Ủy ban Thường vụ Quốc hội về phân loại đô thị. Công tác phân loại đô thị tại các địa phương đã được quan tâm và là cơ sở đánh giá chất lượng đô thị trong từng giai đoạn phát triển.</w:t>
            </w:r>
            <w:r w:rsidRPr="00A464CF">
              <w:rPr>
                <w:rFonts w:eastAsia="Times New Roman"/>
                <w:szCs w:val="28"/>
              </w:rPr>
              <w:t xml:space="preserve"> </w:t>
            </w:r>
            <w:r w:rsidRPr="00A464CF">
              <w:rPr>
                <w:rFonts w:eastAsia="Times New Roman"/>
                <w:sz w:val="22"/>
              </w:rPr>
              <w:t>Từ năm 2016 đến nay, Bộ Xây dựng đã tổ chức thẩm định theo thẩm quyền 66 đề án</w:t>
            </w:r>
            <w:r w:rsidRPr="00A464CF">
              <w:rPr>
                <w:rFonts w:eastAsia="Times New Roman"/>
                <w:sz w:val="22"/>
                <w:vertAlign w:val="superscript"/>
              </w:rPr>
              <w:footnoteReference w:id="2"/>
            </w:r>
            <w:r w:rsidRPr="00A464CF">
              <w:rPr>
                <w:rFonts w:eastAsia="Times New Roman"/>
                <w:sz w:val="22"/>
              </w:rPr>
              <w:t xml:space="preserve"> phân loại đô thị, trong đó đã trình Thủ tướng Chính phủ ban hành Quyết định công nhận 18 đô thị (đô thị loại I, II), ban hành theo thẩm quyền công nhận 48 đô thị (đô thị loại III, IV). Ngoài ra, Bộ Xây dựng đã hoàn thành việc lập, thẩm định trình và được Thủ tướng phê duyệt quy hoạch xây dựng vùng</w:t>
            </w:r>
            <w:r w:rsidRPr="00A464CF">
              <w:rPr>
                <w:rFonts w:eastAsia="Times New Roman"/>
                <w:sz w:val="22"/>
                <w:vertAlign w:val="superscript"/>
              </w:rPr>
              <w:footnoteReference w:id="3"/>
            </w:r>
            <w:r w:rsidRPr="00A464CF">
              <w:rPr>
                <w:rFonts w:eastAsia="Times New Roman"/>
                <w:sz w:val="22"/>
              </w:rPr>
              <w:t>; thẩm định để Ủy ban nhân dân tỉnh trình Thủ tướng Chính phủ phê duyệt các đồ án quy hoạch xây dựng.</w:t>
            </w:r>
          </w:p>
          <w:p w14:paraId="0592B29F" w14:textId="77777777" w:rsidR="0058412C" w:rsidRPr="00A464CF" w:rsidRDefault="0058412C" w:rsidP="002C3A8A">
            <w:pPr>
              <w:keepLines/>
              <w:rPr>
                <w:rFonts w:eastAsia="Times New Roman"/>
                <w:sz w:val="22"/>
              </w:rPr>
            </w:pPr>
            <w:r w:rsidRPr="00A464CF">
              <w:rPr>
                <w:rFonts w:eastAsia="Times New Roman"/>
                <w:sz w:val="22"/>
              </w:rPr>
              <w:t>Nhìn chung, các đô thị được đánh giá, phân loại và công nhận loại đô thị đã cơ bản đáp ứng được các chỉ tiêu, tiêu chuẩn theo quy định, tuy nhiên phần lớn các đô thị không đáp ứng được các chỉ tiêu về xử lý nước thải, chất thải rắn. Các quy hoạch bảo vệ môi trường chưa được chú trọng.</w:t>
            </w:r>
          </w:p>
          <w:p w14:paraId="11A92488" w14:textId="5B1AA837" w:rsidR="0058412C" w:rsidRPr="00A464CF" w:rsidRDefault="0058412C" w:rsidP="002C3A8A">
            <w:pPr>
              <w:keepLines/>
              <w:rPr>
                <w:rFonts w:eastAsia="Times New Roman"/>
                <w:sz w:val="22"/>
              </w:rPr>
            </w:pPr>
          </w:p>
        </w:tc>
        <w:tc>
          <w:tcPr>
            <w:tcW w:w="1306" w:type="dxa"/>
            <w:shd w:val="clear" w:color="auto" w:fill="auto"/>
            <w:vAlign w:val="center"/>
            <w:hideMark/>
          </w:tcPr>
          <w:p w14:paraId="20EB407D" w14:textId="77777777" w:rsidR="0058412C" w:rsidRPr="00A464CF" w:rsidRDefault="0058412C" w:rsidP="0058412C">
            <w:pPr>
              <w:rPr>
                <w:rFonts w:eastAsia="Times New Roman"/>
                <w:sz w:val="22"/>
                <w:szCs w:val="22"/>
              </w:rPr>
            </w:pPr>
            <w:r w:rsidRPr="00A464CF">
              <w:rPr>
                <w:rFonts w:eastAsia="Times New Roman"/>
                <w:sz w:val="22"/>
                <w:szCs w:val="22"/>
              </w:rPr>
              <w:lastRenderedPageBreak/>
              <w:t>Đã triển khai và có kết quả bước đầu</w:t>
            </w:r>
          </w:p>
        </w:tc>
      </w:tr>
      <w:tr w:rsidR="00A464CF" w:rsidRPr="00A464CF" w14:paraId="3BF416F9" w14:textId="77777777" w:rsidTr="00AA2D1A">
        <w:trPr>
          <w:trHeight w:val="742"/>
        </w:trPr>
        <w:tc>
          <w:tcPr>
            <w:tcW w:w="708" w:type="dxa"/>
            <w:shd w:val="clear" w:color="auto" w:fill="auto"/>
            <w:noWrap/>
            <w:vAlign w:val="center"/>
            <w:hideMark/>
          </w:tcPr>
          <w:p w14:paraId="66E8CBE0" w14:textId="77777777" w:rsidR="0058412C" w:rsidRPr="00A464CF" w:rsidRDefault="0058412C" w:rsidP="0058412C">
            <w:pPr>
              <w:jc w:val="center"/>
              <w:rPr>
                <w:rFonts w:eastAsia="Times New Roman"/>
                <w:sz w:val="22"/>
                <w:szCs w:val="22"/>
              </w:rPr>
            </w:pPr>
            <w:r w:rsidRPr="00A464CF">
              <w:rPr>
                <w:rFonts w:eastAsia="Times New Roman"/>
                <w:sz w:val="22"/>
                <w:szCs w:val="22"/>
              </w:rPr>
              <w:lastRenderedPageBreak/>
              <w:t>2</w:t>
            </w:r>
          </w:p>
        </w:tc>
        <w:tc>
          <w:tcPr>
            <w:tcW w:w="5378" w:type="dxa"/>
            <w:shd w:val="clear" w:color="auto" w:fill="auto"/>
            <w:vAlign w:val="center"/>
            <w:hideMark/>
          </w:tcPr>
          <w:p w14:paraId="0BE247E4" w14:textId="77777777" w:rsidR="0058412C" w:rsidRPr="00A464CF" w:rsidRDefault="0058412C" w:rsidP="0058412C">
            <w:pPr>
              <w:jc w:val="both"/>
              <w:rPr>
                <w:rFonts w:eastAsia="Times New Roman"/>
                <w:sz w:val="22"/>
                <w:szCs w:val="22"/>
              </w:rPr>
            </w:pPr>
            <w:r w:rsidRPr="00A464CF">
              <w:rPr>
                <w:rFonts w:eastAsia="Times New Roman"/>
                <w:sz w:val="22"/>
                <w:szCs w:val="22"/>
              </w:rPr>
              <w:t>Soạn thảo Luật về đối tác công tư theo hướng đa dạng về loại hình trong các ngành, lĩnh vực phù hợp; công khai, minh bạch, ổn định, bình đẳng; có cơ chế giám sát, quản lý và sử dụng hiệu quả vốn đầu tư đối với từng dự án. Quan tâm đầu tư kết cấu hạ tầng thiết yếu vùng sâu, vùng xa, vùng đồng bào dân tộc thiểu số và vùng căn cứ cách mạng</w:t>
            </w:r>
          </w:p>
        </w:tc>
        <w:tc>
          <w:tcPr>
            <w:tcW w:w="7771" w:type="dxa"/>
            <w:shd w:val="clear" w:color="auto" w:fill="auto"/>
            <w:vAlign w:val="center"/>
            <w:hideMark/>
          </w:tcPr>
          <w:p w14:paraId="02EC9E71" w14:textId="28B424C4" w:rsidR="0058412C" w:rsidRPr="00A464CF" w:rsidRDefault="00E7612E" w:rsidP="0058412C">
            <w:pPr>
              <w:jc w:val="both"/>
              <w:rPr>
                <w:rFonts w:eastAsia="Times New Roman"/>
                <w:sz w:val="22"/>
                <w:szCs w:val="22"/>
              </w:rPr>
            </w:pPr>
            <w:r w:rsidRPr="00A464CF">
              <w:rPr>
                <w:rFonts w:eastAsia="Times New Roman"/>
                <w:sz w:val="22"/>
                <w:szCs w:val="22"/>
                <w:lang w:val="vi-VN"/>
              </w:rPr>
              <w:t xml:space="preserve">Luật PPP </w:t>
            </w:r>
            <w:r w:rsidRPr="00A464CF">
              <w:rPr>
                <w:rFonts w:eastAsia="Times New Roman"/>
                <w:sz w:val="22"/>
                <w:szCs w:val="22"/>
              </w:rPr>
              <w:t>(Luật số 64/2020/QH14 ngày 18/6/2020 – Luật Đầu tư theo phương thức đối tác công tư) đã được Quốc hội thông qua có hiệu lưc từ ngày 01/01/2020</w:t>
            </w:r>
          </w:p>
        </w:tc>
        <w:tc>
          <w:tcPr>
            <w:tcW w:w="1306" w:type="dxa"/>
            <w:shd w:val="clear" w:color="auto" w:fill="auto"/>
            <w:vAlign w:val="center"/>
            <w:hideMark/>
          </w:tcPr>
          <w:p w14:paraId="4A8719C2" w14:textId="21F3446D" w:rsidR="0058412C" w:rsidRPr="00A464CF" w:rsidRDefault="0058412C" w:rsidP="00E7612E">
            <w:pPr>
              <w:rPr>
                <w:rFonts w:eastAsia="Times New Roman"/>
                <w:sz w:val="22"/>
                <w:szCs w:val="22"/>
              </w:rPr>
            </w:pPr>
            <w:r w:rsidRPr="00A464CF">
              <w:rPr>
                <w:rFonts w:eastAsia="Times New Roman"/>
                <w:sz w:val="22"/>
                <w:szCs w:val="22"/>
              </w:rPr>
              <w:t xml:space="preserve">Đã triển khai và có kết quả </w:t>
            </w:r>
            <w:r w:rsidR="00E7612E" w:rsidRPr="00A464CF">
              <w:rPr>
                <w:rFonts w:eastAsia="Times New Roman"/>
                <w:sz w:val="22"/>
                <w:szCs w:val="22"/>
              </w:rPr>
              <w:t xml:space="preserve"> rõ ràng</w:t>
            </w:r>
          </w:p>
        </w:tc>
      </w:tr>
      <w:tr w:rsidR="00A464CF" w:rsidRPr="00A464CF" w14:paraId="339A7750" w14:textId="77777777" w:rsidTr="00AA2D1A">
        <w:trPr>
          <w:trHeight w:val="268"/>
        </w:trPr>
        <w:tc>
          <w:tcPr>
            <w:tcW w:w="708" w:type="dxa"/>
            <w:shd w:val="clear" w:color="auto" w:fill="auto"/>
            <w:noWrap/>
            <w:vAlign w:val="center"/>
            <w:hideMark/>
          </w:tcPr>
          <w:p w14:paraId="1E2223BA" w14:textId="77777777" w:rsidR="0058412C" w:rsidRPr="00A464CF" w:rsidRDefault="0058412C" w:rsidP="0058412C">
            <w:pPr>
              <w:jc w:val="center"/>
              <w:rPr>
                <w:rFonts w:eastAsia="Times New Roman"/>
                <w:sz w:val="22"/>
                <w:szCs w:val="22"/>
              </w:rPr>
            </w:pPr>
            <w:r w:rsidRPr="00A464CF">
              <w:rPr>
                <w:rFonts w:eastAsia="Times New Roman"/>
                <w:sz w:val="22"/>
                <w:szCs w:val="22"/>
              </w:rPr>
              <w:t>3</w:t>
            </w:r>
          </w:p>
        </w:tc>
        <w:tc>
          <w:tcPr>
            <w:tcW w:w="5378" w:type="dxa"/>
            <w:shd w:val="clear" w:color="auto" w:fill="auto"/>
            <w:vAlign w:val="center"/>
            <w:hideMark/>
          </w:tcPr>
          <w:p w14:paraId="1EC1652C" w14:textId="77777777" w:rsidR="0058412C" w:rsidRPr="00A464CF" w:rsidRDefault="0058412C" w:rsidP="0058412C">
            <w:pPr>
              <w:jc w:val="both"/>
              <w:rPr>
                <w:rFonts w:eastAsia="Times New Roman"/>
                <w:sz w:val="22"/>
                <w:szCs w:val="22"/>
              </w:rPr>
            </w:pPr>
            <w:r w:rsidRPr="00A464CF">
              <w:rPr>
                <w:rFonts w:eastAsia="Times New Roman"/>
                <w:sz w:val="22"/>
                <w:szCs w:val="22"/>
              </w:rPr>
              <w:t xml:space="preserve">Ban hành chính sách quản lý phát triển đô thị theo hướng đồng bộ, bền vững, thân thiện với môi trường có khả năng ứng phó với biến đổi khí hậu nhằm nâng cao chất lượng tăng trưởng và năng lực cạnh tranh của các đô thị.  </w:t>
            </w:r>
          </w:p>
        </w:tc>
        <w:tc>
          <w:tcPr>
            <w:tcW w:w="7771" w:type="dxa"/>
            <w:shd w:val="clear" w:color="auto" w:fill="auto"/>
            <w:vAlign w:val="center"/>
            <w:hideMark/>
          </w:tcPr>
          <w:p w14:paraId="219AE9EA" w14:textId="0C94DF8B" w:rsidR="00E7612E" w:rsidRPr="00A464CF" w:rsidRDefault="00E7612E" w:rsidP="00E7612E">
            <w:pPr>
              <w:jc w:val="both"/>
              <w:rPr>
                <w:rFonts w:eastAsia="Times New Roman"/>
                <w:sz w:val="22"/>
                <w:szCs w:val="22"/>
              </w:rPr>
            </w:pPr>
            <w:r w:rsidRPr="00A464CF">
              <w:rPr>
                <w:rFonts w:eastAsia="Times New Roman"/>
                <w:sz w:val="22"/>
                <w:szCs w:val="22"/>
              </w:rPr>
              <w:t>Thủ tướng Chính phủ đã ban hành Quyết định số 84/QĐ-TTg ngày 19/1/2018 phê duyệt Kế hoạch phát triển đô thị tăng trưởng xanh Việt Nam đến năm 2020. Bộ Xây dựng đã ban hành Thông tư số 01/2018/TT-BXD ngày 05/1/2018 về việc quy định về chỉ tiêu xây dựng đô thị tăng trưởng xanh , gồm 24 chỉ tiêu được chia thành 4 nhóm kinh tế, xã hội, môi trường và thể chế. Thực hiện theo Kế hoạch này, đã có 11/63 tỉnh thành phê duyệt/ ban hành Kế hoạch thực hiện phát triển đô thị tăng trưởng xanh</w:t>
            </w:r>
            <w:r w:rsidRPr="00A464CF">
              <w:rPr>
                <w:rFonts w:eastAsia="Times New Roman"/>
                <w:sz w:val="22"/>
                <w:szCs w:val="22"/>
                <w:vertAlign w:val="superscript"/>
              </w:rPr>
              <w:footnoteReference w:id="4"/>
            </w:r>
            <w:r w:rsidRPr="00A464CF">
              <w:rPr>
                <w:rFonts w:eastAsia="Times New Roman"/>
                <w:sz w:val="22"/>
                <w:szCs w:val="22"/>
              </w:rPr>
              <w:t>; 04 tỉnh thành</w:t>
            </w:r>
            <w:r w:rsidRPr="00A464CF">
              <w:rPr>
                <w:rFonts w:eastAsia="Times New Roman"/>
                <w:sz w:val="22"/>
                <w:szCs w:val="22"/>
                <w:vertAlign w:val="superscript"/>
              </w:rPr>
              <w:footnoteReference w:id="5"/>
            </w:r>
            <w:r w:rsidRPr="00A464CF">
              <w:rPr>
                <w:rFonts w:eastAsia="Times New Roman"/>
                <w:sz w:val="22"/>
                <w:szCs w:val="22"/>
              </w:rPr>
              <w:t xml:space="preserve"> đã chủ động phân công thực hiện triển khai Thông tư 01/2018/TT-BXD ngày 05/01/2018 quy định về chỉ tiêu xây dựng đô thị tăng trưởng xanh. Đến tháng </w:t>
            </w:r>
            <w:r w:rsidRPr="00A464CF">
              <w:rPr>
                <w:rFonts w:eastAsia="Times New Roman"/>
                <w:sz w:val="22"/>
                <w:szCs w:val="22"/>
              </w:rPr>
              <w:lastRenderedPageBreak/>
              <w:t>5/2020 mới chỉ có duy nhất thành phố Hà Nội đã ban hành Báo cáo đô thị tăng trưởng xanh năm cơ sở. Bộ Xây dựng đã hỗ trợ các địa phương</w:t>
            </w:r>
            <w:r w:rsidRPr="00A464CF">
              <w:rPr>
                <w:rFonts w:eastAsia="Times New Roman"/>
                <w:sz w:val="22"/>
                <w:szCs w:val="22"/>
                <w:vertAlign w:val="superscript"/>
              </w:rPr>
              <w:footnoteReference w:id="6"/>
            </w:r>
            <w:r w:rsidRPr="00A464CF">
              <w:rPr>
                <w:rFonts w:eastAsia="Times New Roman"/>
                <w:sz w:val="22"/>
                <w:szCs w:val="22"/>
              </w:rPr>
              <w:t xml:space="preserve"> thực hiện lập báo cáo năm cơ sở và theo giai đoạn.</w:t>
            </w:r>
          </w:p>
          <w:p w14:paraId="5129AEC9" w14:textId="2DDAD7AB" w:rsidR="00E7612E" w:rsidRPr="00A464CF" w:rsidRDefault="00E7612E" w:rsidP="00E7612E">
            <w:pPr>
              <w:jc w:val="both"/>
              <w:rPr>
                <w:rFonts w:eastAsia="Times New Roman"/>
                <w:sz w:val="22"/>
                <w:szCs w:val="22"/>
              </w:rPr>
            </w:pPr>
            <w:r w:rsidRPr="00A464CF">
              <w:rPr>
                <w:rFonts w:eastAsia="Times New Roman"/>
                <w:sz w:val="22"/>
                <w:szCs w:val="22"/>
              </w:rPr>
              <w:t>Bộ Xây dựng đang chỉ đạo triển khai nghiên cứu giải pháp công nghệ sinh học và tiết kiệm năng lượng trong kiến trúc nhà ở nông thôn đồng bằng Bắc bộ theo định hướng tăng trưởng xanh. Các tiêu chí xây dựng đô thị theo hướng xanh, ứng phó với BĐKH đang được nghiên cứu xây dựng.</w:t>
            </w:r>
          </w:p>
          <w:p w14:paraId="61F47AFB" w14:textId="77777777" w:rsidR="00E7612E" w:rsidRPr="00A464CF" w:rsidRDefault="00E7612E" w:rsidP="00E7612E">
            <w:pPr>
              <w:jc w:val="both"/>
              <w:rPr>
                <w:rFonts w:eastAsia="Times New Roman"/>
                <w:sz w:val="22"/>
                <w:szCs w:val="22"/>
              </w:rPr>
            </w:pPr>
            <w:r w:rsidRPr="00A464CF">
              <w:rPr>
                <w:rFonts w:eastAsia="Times New Roman"/>
                <w:sz w:val="22"/>
                <w:szCs w:val="22"/>
              </w:rPr>
              <w:t>Từ năm 2015 đến nay, Bộ Xây Dựng đã giao các đơn vị trong và ngoài Bộ thực hiện 21 dự án sự nghiệp kinh tế nhằm thực hiện 05 chương trình và 18 nhiệm vụ được giao trong Quyết định số 2623/QĐ-TTg về Đề án phát triển các đô thị Việt Nam ứng phó với BĐKH giai đoạn 2013 – 2020. Theo đó, đã có đã có 03 Bộ</w:t>
            </w:r>
            <w:r w:rsidRPr="00A464CF">
              <w:rPr>
                <w:rFonts w:eastAsia="Times New Roman"/>
                <w:sz w:val="22"/>
                <w:szCs w:val="22"/>
                <w:vertAlign w:val="superscript"/>
              </w:rPr>
              <w:footnoteReference w:id="7"/>
            </w:r>
            <w:r w:rsidRPr="00A464CF">
              <w:rPr>
                <w:rFonts w:eastAsia="Times New Roman"/>
                <w:sz w:val="22"/>
                <w:szCs w:val="22"/>
              </w:rPr>
              <w:t xml:space="preserve"> xây dựng bản đồ Atlas khí hậu; có 13/63 tỉnh, thành</w:t>
            </w:r>
            <w:r w:rsidRPr="00A464CF">
              <w:rPr>
                <w:rFonts w:eastAsia="Times New Roman"/>
                <w:sz w:val="22"/>
                <w:szCs w:val="22"/>
                <w:vertAlign w:val="superscript"/>
              </w:rPr>
              <w:footnoteReference w:id="8"/>
            </w:r>
            <w:r w:rsidRPr="00A464CF">
              <w:rPr>
                <w:rFonts w:eastAsia="Times New Roman"/>
                <w:sz w:val="22"/>
                <w:szCs w:val="22"/>
              </w:rPr>
              <w:t xml:space="preserve"> đã xây dựng bản đồ ngập lụt, lũ quét và sạt lở; 03/63 tỉnh, thành</w:t>
            </w:r>
            <w:r w:rsidRPr="00A464CF">
              <w:rPr>
                <w:rFonts w:eastAsia="Times New Roman"/>
                <w:sz w:val="22"/>
                <w:szCs w:val="22"/>
                <w:vertAlign w:val="superscript"/>
              </w:rPr>
              <w:footnoteReference w:id="9"/>
            </w:r>
            <w:r w:rsidRPr="00A464CF">
              <w:rPr>
                <w:rFonts w:eastAsia="Times New Roman"/>
                <w:sz w:val="22"/>
                <w:szCs w:val="22"/>
              </w:rPr>
              <w:t xml:space="preserve"> đã xây dựng Atlas phân vùng khí hậu, tập bản đồ tỉnh; 03 đô thị</w:t>
            </w:r>
            <w:r w:rsidRPr="00A464CF">
              <w:rPr>
                <w:rFonts w:eastAsia="Times New Roman"/>
                <w:sz w:val="22"/>
                <w:szCs w:val="22"/>
                <w:vertAlign w:val="superscript"/>
              </w:rPr>
              <w:footnoteReference w:id="10"/>
            </w:r>
            <w:r w:rsidRPr="00A464CF">
              <w:rPr>
                <w:rFonts w:eastAsia="Times New Roman"/>
                <w:sz w:val="22"/>
                <w:szCs w:val="22"/>
              </w:rPr>
              <w:t xml:space="preserve"> đã xây dựng Atlas Đô thị - Khí hậu; có 14/63 tỉnh thành đã chủ động lồng ghép các lồng ghép các nội dung về ứng phó với biến đối khí hậu trong công tác lập, thẩm định, phê duyệt quy hoạch, chương trình phát triển đô thị; khoảng 59/63 tỉnh, thành đã ban hành Kế hoạch hành động ứng phó với biến đối khí hậu, nước biển dâng; khoảng 25/63 tỉnh thành cũng đã và đang chủ động huy động sự hỗ trợ của các tổ chức quốc tế triển khai thực hiện các dự án ứng phó với biến đối khí hậu trên địa bàn.  Bộ Xây dựng đang xây dựng giai đoạn 2 của Đề án Phát triển các đô thị Việt Nam ứng phó với biến đổi khí hậu giai đoạn 2021-2030 trình Thủ tướng Chính phủ xem xét phê duyệt.</w:t>
            </w:r>
          </w:p>
          <w:p w14:paraId="3F90957C" w14:textId="77777777" w:rsidR="00E7612E" w:rsidRPr="00A464CF" w:rsidRDefault="00E7612E" w:rsidP="00E7612E">
            <w:pPr>
              <w:jc w:val="both"/>
              <w:rPr>
                <w:rFonts w:eastAsia="Times New Roman"/>
                <w:sz w:val="22"/>
                <w:szCs w:val="22"/>
              </w:rPr>
            </w:pPr>
          </w:p>
          <w:p w14:paraId="7C531136" w14:textId="7094E23E" w:rsidR="0058412C" w:rsidRPr="00A464CF" w:rsidRDefault="0058412C" w:rsidP="0058412C">
            <w:pPr>
              <w:jc w:val="both"/>
              <w:rPr>
                <w:rFonts w:eastAsia="Times New Roman"/>
                <w:sz w:val="22"/>
                <w:szCs w:val="22"/>
              </w:rPr>
            </w:pPr>
            <w:r w:rsidRPr="00A464CF">
              <w:rPr>
                <w:rFonts w:eastAsia="Times New Roman"/>
                <w:sz w:val="22"/>
                <w:szCs w:val="22"/>
              </w:rPr>
              <w:t>.</w:t>
            </w:r>
          </w:p>
        </w:tc>
        <w:tc>
          <w:tcPr>
            <w:tcW w:w="1306" w:type="dxa"/>
            <w:shd w:val="clear" w:color="auto" w:fill="auto"/>
            <w:vAlign w:val="center"/>
            <w:hideMark/>
          </w:tcPr>
          <w:p w14:paraId="19C848B8" w14:textId="37424B45" w:rsidR="0058412C" w:rsidRPr="00A464CF" w:rsidRDefault="0058412C" w:rsidP="00F315ED">
            <w:pPr>
              <w:rPr>
                <w:rFonts w:eastAsia="Times New Roman"/>
                <w:sz w:val="22"/>
                <w:szCs w:val="22"/>
              </w:rPr>
            </w:pPr>
            <w:r w:rsidRPr="00A464CF">
              <w:rPr>
                <w:rFonts w:eastAsia="Times New Roman"/>
                <w:sz w:val="22"/>
                <w:szCs w:val="22"/>
              </w:rPr>
              <w:lastRenderedPageBreak/>
              <w:t>Đã triển khai và có kết quả bước đầu</w:t>
            </w:r>
          </w:p>
        </w:tc>
      </w:tr>
      <w:tr w:rsidR="00A464CF" w:rsidRPr="00A464CF" w14:paraId="4A03ABB1" w14:textId="77777777" w:rsidTr="00AA2D1A">
        <w:trPr>
          <w:trHeight w:val="820"/>
        </w:trPr>
        <w:tc>
          <w:tcPr>
            <w:tcW w:w="708" w:type="dxa"/>
            <w:shd w:val="clear" w:color="auto" w:fill="auto"/>
            <w:noWrap/>
            <w:vAlign w:val="center"/>
            <w:hideMark/>
          </w:tcPr>
          <w:p w14:paraId="47E001F1" w14:textId="77777777" w:rsidR="0058412C" w:rsidRPr="00A464CF" w:rsidRDefault="0058412C" w:rsidP="0058412C">
            <w:pPr>
              <w:jc w:val="center"/>
              <w:rPr>
                <w:rFonts w:eastAsia="Times New Roman"/>
                <w:sz w:val="22"/>
                <w:szCs w:val="22"/>
              </w:rPr>
            </w:pPr>
            <w:r w:rsidRPr="00A464CF">
              <w:rPr>
                <w:rFonts w:eastAsia="Times New Roman"/>
                <w:sz w:val="22"/>
                <w:szCs w:val="22"/>
              </w:rPr>
              <w:lastRenderedPageBreak/>
              <w:t>4</w:t>
            </w:r>
          </w:p>
        </w:tc>
        <w:tc>
          <w:tcPr>
            <w:tcW w:w="5378" w:type="dxa"/>
            <w:shd w:val="clear" w:color="auto" w:fill="auto"/>
            <w:vAlign w:val="center"/>
            <w:hideMark/>
          </w:tcPr>
          <w:p w14:paraId="77B75822" w14:textId="77777777" w:rsidR="0058412C" w:rsidRPr="00A464CF" w:rsidRDefault="0058412C" w:rsidP="0058412C">
            <w:pPr>
              <w:jc w:val="both"/>
              <w:rPr>
                <w:rFonts w:eastAsia="Times New Roman"/>
                <w:sz w:val="22"/>
                <w:szCs w:val="22"/>
              </w:rPr>
            </w:pPr>
            <w:r w:rsidRPr="00A464CF">
              <w:rPr>
                <w:rFonts w:eastAsia="Times New Roman"/>
                <w:sz w:val="22"/>
                <w:szCs w:val="22"/>
              </w:rPr>
              <w:t>Hoàn thiện khung pháp lý và các công cụ quản lý để kiểm soát quá trình đầu tư phát triển đô thị theo quy hoạch và kế hoạch; ưu tiên phát triển khu đô thị mới ven các đô thị để giảm tải cho khu vực trung tâm thành phố.</w:t>
            </w:r>
          </w:p>
        </w:tc>
        <w:tc>
          <w:tcPr>
            <w:tcW w:w="7771" w:type="dxa"/>
            <w:shd w:val="clear" w:color="auto" w:fill="auto"/>
            <w:vAlign w:val="center"/>
            <w:hideMark/>
          </w:tcPr>
          <w:p w14:paraId="7F941208" w14:textId="77777777" w:rsidR="00E7612E" w:rsidRPr="00A464CF" w:rsidRDefault="00E7612E" w:rsidP="00E7612E">
            <w:pPr>
              <w:jc w:val="both"/>
              <w:rPr>
                <w:rFonts w:eastAsia="Times New Roman"/>
                <w:sz w:val="22"/>
                <w:szCs w:val="22"/>
              </w:rPr>
            </w:pPr>
            <w:r w:rsidRPr="00A464CF">
              <w:rPr>
                <w:rFonts w:eastAsia="Times New Roman"/>
                <w:sz w:val="22"/>
                <w:szCs w:val="22"/>
              </w:rPr>
              <w:t>Hệ thống thể chế về phát triển đô thị đang dần được hoàn thiện, giai đoạn 2015-2020, Bộ Xây dựng đã chủ trì nghiên cứu xây dựng dự thảo Luật Quản lý phát triển đô thị (giai đoạn 2017-2018); sửa đổi, bổ sung Luật Xây dựng có lồng ghép nội dung về phát triển đô thị và xây dựng Nghị định thay thế Nghị định số 11/2013/NĐ-CP (dự kiến trình Chính phủ trong năm 2020).</w:t>
            </w:r>
          </w:p>
          <w:p w14:paraId="42C51A5E" w14:textId="07693501" w:rsidR="00E7612E" w:rsidRPr="00A464CF" w:rsidRDefault="00E7612E" w:rsidP="0058412C">
            <w:pPr>
              <w:jc w:val="both"/>
              <w:rPr>
                <w:rFonts w:eastAsia="Times New Roman"/>
                <w:sz w:val="22"/>
                <w:szCs w:val="22"/>
              </w:rPr>
            </w:pPr>
            <w:r w:rsidRPr="00A464CF">
              <w:rPr>
                <w:rFonts w:eastAsia="Times New Roman"/>
                <w:sz w:val="22"/>
                <w:szCs w:val="22"/>
              </w:rPr>
              <w:lastRenderedPageBreak/>
              <w:t>Công tác quản lý, kiểm soát các dự án đầu tư phát triển đô thị theo quy hoạch, kế hoạch được triển khai thực hiện chặt chẽ hơn, góp phần hạn chế, khắc phục tình trạng phát triển đô thị theo dự án tràn lan, tự phát, không theo quy hoạch, kế hoạch. Đã có trên 50 tỉnh, thành phố trực thuộc TW tổ chức lập, phê duyệt các chương trình phát triển đô thị. Các địa phương cũng đã cơ bản hoàn thành việc rà soát, phân loại các dự án phát triển đô thị, phát triển nhà ở trên phạm vi cả nước, đề xuất việc điều chỉnh, bổ sung cho phù hợp với quy hoạch, kế hoạch phát triển kinh tế - xã hội của địa phương.</w:t>
            </w:r>
          </w:p>
          <w:p w14:paraId="4FBD0B88" w14:textId="15784A3F" w:rsidR="0058412C" w:rsidRPr="00A464CF" w:rsidRDefault="0058412C" w:rsidP="0058412C">
            <w:pPr>
              <w:jc w:val="both"/>
              <w:rPr>
                <w:rFonts w:eastAsia="Times New Roman"/>
                <w:sz w:val="22"/>
                <w:szCs w:val="22"/>
              </w:rPr>
            </w:pPr>
            <w:r w:rsidRPr="00A464CF">
              <w:rPr>
                <w:rFonts w:eastAsia="Times New Roman"/>
                <w:sz w:val="22"/>
                <w:szCs w:val="22"/>
              </w:rPr>
              <w:t>Bộ Xây dựng đang nghiên cứu quy định tăng cường kiểm soát đầu tư phát triển đô thị, cũng như có giải pháp phát triển khu đô thị mới ven các đô thị để giảm tải cho khu vực trung tâm thành phố.</w:t>
            </w:r>
          </w:p>
        </w:tc>
        <w:tc>
          <w:tcPr>
            <w:tcW w:w="1306" w:type="dxa"/>
            <w:shd w:val="clear" w:color="auto" w:fill="auto"/>
            <w:vAlign w:val="center"/>
            <w:hideMark/>
          </w:tcPr>
          <w:p w14:paraId="227051ED" w14:textId="77777777" w:rsidR="0058412C" w:rsidRPr="00A464CF" w:rsidRDefault="0058412C" w:rsidP="0058412C">
            <w:pPr>
              <w:rPr>
                <w:rFonts w:eastAsia="Times New Roman"/>
                <w:sz w:val="22"/>
                <w:szCs w:val="22"/>
              </w:rPr>
            </w:pPr>
            <w:r w:rsidRPr="00A464CF">
              <w:rPr>
                <w:rFonts w:eastAsia="Times New Roman"/>
                <w:sz w:val="22"/>
                <w:szCs w:val="22"/>
              </w:rPr>
              <w:lastRenderedPageBreak/>
              <w:t>Đã triển khai và có kết quả bước đầu</w:t>
            </w:r>
          </w:p>
        </w:tc>
      </w:tr>
      <w:tr w:rsidR="00A464CF" w:rsidRPr="00A464CF" w14:paraId="3B573629" w14:textId="77777777" w:rsidTr="00AA2D1A">
        <w:trPr>
          <w:trHeight w:val="60"/>
        </w:trPr>
        <w:tc>
          <w:tcPr>
            <w:tcW w:w="708" w:type="dxa"/>
            <w:shd w:val="clear" w:color="auto" w:fill="auto"/>
            <w:noWrap/>
            <w:vAlign w:val="center"/>
            <w:hideMark/>
          </w:tcPr>
          <w:p w14:paraId="09DE80CB" w14:textId="77777777" w:rsidR="0058412C" w:rsidRPr="00A464CF" w:rsidRDefault="0058412C" w:rsidP="0058412C">
            <w:pPr>
              <w:jc w:val="center"/>
              <w:rPr>
                <w:rFonts w:eastAsia="Times New Roman"/>
                <w:sz w:val="22"/>
                <w:szCs w:val="22"/>
              </w:rPr>
            </w:pPr>
            <w:r w:rsidRPr="00A464CF">
              <w:rPr>
                <w:rFonts w:eastAsia="Times New Roman"/>
                <w:sz w:val="22"/>
                <w:szCs w:val="22"/>
              </w:rPr>
              <w:lastRenderedPageBreak/>
              <w:t>5</w:t>
            </w:r>
          </w:p>
        </w:tc>
        <w:tc>
          <w:tcPr>
            <w:tcW w:w="5378" w:type="dxa"/>
            <w:shd w:val="clear" w:color="auto" w:fill="auto"/>
            <w:vAlign w:val="center"/>
            <w:hideMark/>
          </w:tcPr>
          <w:p w14:paraId="37FF96E8" w14:textId="77777777" w:rsidR="0058412C" w:rsidRPr="00A464CF" w:rsidRDefault="0058412C" w:rsidP="0058412C">
            <w:pPr>
              <w:jc w:val="both"/>
              <w:rPr>
                <w:rFonts w:eastAsia="Times New Roman"/>
                <w:sz w:val="22"/>
                <w:szCs w:val="22"/>
              </w:rPr>
            </w:pPr>
            <w:r w:rsidRPr="00A464CF">
              <w:rPr>
                <w:rFonts w:eastAsia="Times New Roman"/>
                <w:sz w:val="22"/>
                <w:szCs w:val="22"/>
              </w:rPr>
              <w:t>Xây dựng trình Quốc hội ban hành trước năm 2019 các Luật về quản lý phát triển đô thị, về kiến trúc và về cấp nước.</w:t>
            </w:r>
          </w:p>
        </w:tc>
        <w:tc>
          <w:tcPr>
            <w:tcW w:w="7771" w:type="dxa"/>
            <w:shd w:val="clear" w:color="auto" w:fill="auto"/>
            <w:vAlign w:val="center"/>
            <w:hideMark/>
          </w:tcPr>
          <w:p w14:paraId="634D0DBB" w14:textId="77777777" w:rsidR="0058412C" w:rsidRPr="00A464CF" w:rsidRDefault="0058412C" w:rsidP="0058412C">
            <w:pPr>
              <w:pStyle w:val="ListParagraph"/>
              <w:numPr>
                <w:ilvl w:val="0"/>
                <w:numId w:val="29"/>
              </w:numPr>
              <w:spacing w:line="240" w:lineRule="auto"/>
              <w:ind w:left="0" w:hanging="185"/>
              <w:jc w:val="both"/>
              <w:rPr>
                <w:rFonts w:eastAsia="Times New Roman"/>
                <w:sz w:val="22"/>
                <w:szCs w:val="22"/>
              </w:rPr>
            </w:pPr>
            <w:r w:rsidRPr="00A464CF">
              <w:rPr>
                <w:rFonts w:eastAsia="Times New Roman"/>
                <w:sz w:val="22"/>
                <w:szCs w:val="22"/>
              </w:rPr>
              <w:t>Dự thảo Luật Quản lý phát triển đô thị trình Quốc hội tại Kỳ họp lần thứ 5.</w:t>
            </w:r>
          </w:p>
          <w:p w14:paraId="1E14BBC4" w14:textId="77777777" w:rsidR="0058412C" w:rsidRPr="00A464CF" w:rsidRDefault="0058412C" w:rsidP="0058412C">
            <w:pPr>
              <w:pStyle w:val="ListParagraph"/>
              <w:numPr>
                <w:ilvl w:val="0"/>
                <w:numId w:val="29"/>
              </w:numPr>
              <w:spacing w:line="240" w:lineRule="auto"/>
              <w:ind w:left="0" w:hanging="185"/>
              <w:jc w:val="both"/>
              <w:rPr>
                <w:rFonts w:eastAsia="Times New Roman"/>
                <w:sz w:val="22"/>
                <w:szCs w:val="22"/>
              </w:rPr>
            </w:pPr>
            <w:r w:rsidRPr="00A464CF">
              <w:rPr>
                <w:rFonts w:eastAsia="Times New Roman"/>
                <w:sz w:val="22"/>
                <w:szCs w:val="22"/>
              </w:rPr>
              <w:t>Luật Kiến trúc đã được ban hành: Luật số 40/2019/QH14 ngày 16 tháng 6 năm 2019.</w:t>
            </w:r>
          </w:p>
          <w:p w14:paraId="1C741935" w14:textId="77777777" w:rsidR="0058412C" w:rsidRPr="00A464CF" w:rsidRDefault="0058412C" w:rsidP="0058412C">
            <w:pPr>
              <w:pStyle w:val="ListParagraph"/>
              <w:numPr>
                <w:ilvl w:val="0"/>
                <w:numId w:val="29"/>
              </w:numPr>
              <w:spacing w:line="240" w:lineRule="auto"/>
              <w:ind w:left="0" w:hanging="185"/>
              <w:jc w:val="both"/>
              <w:rPr>
                <w:rFonts w:eastAsia="Times New Roman"/>
                <w:sz w:val="22"/>
                <w:szCs w:val="22"/>
              </w:rPr>
            </w:pPr>
            <w:r w:rsidRPr="00A464CF">
              <w:rPr>
                <w:rFonts w:eastAsia="Times New Roman"/>
                <w:sz w:val="22"/>
                <w:szCs w:val="22"/>
              </w:rPr>
              <w:t xml:space="preserve"> Bộ Xây dựng đã tổ chức nghiên cứu các nội dung liên quan đến việc xây dựng Luật Cấp nước và hiện đang hoàn thiện hồ sơ đề nghị xây dựng Luật Cấp nước</w:t>
            </w:r>
          </w:p>
        </w:tc>
        <w:tc>
          <w:tcPr>
            <w:tcW w:w="1306" w:type="dxa"/>
            <w:shd w:val="clear" w:color="auto" w:fill="auto"/>
            <w:vAlign w:val="center"/>
            <w:hideMark/>
          </w:tcPr>
          <w:p w14:paraId="2CF7D947" w14:textId="77777777" w:rsidR="0058412C" w:rsidRPr="00A464CF" w:rsidRDefault="0058412C" w:rsidP="0058412C">
            <w:pPr>
              <w:rPr>
                <w:rFonts w:eastAsia="Times New Roman"/>
                <w:sz w:val="22"/>
                <w:szCs w:val="22"/>
              </w:rPr>
            </w:pPr>
            <w:r w:rsidRPr="00A464CF">
              <w:rPr>
                <w:rFonts w:eastAsia="Times New Roman"/>
                <w:sz w:val="22"/>
                <w:szCs w:val="22"/>
              </w:rPr>
              <w:t>Đã triển khai và có kết quả rõ ràng</w:t>
            </w:r>
          </w:p>
        </w:tc>
      </w:tr>
      <w:tr w:rsidR="00A464CF" w:rsidRPr="00A464CF" w14:paraId="42331C89" w14:textId="77777777" w:rsidTr="00AA2D1A">
        <w:trPr>
          <w:trHeight w:val="842"/>
        </w:trPr>
        <w:tc>
          <w:tcPr>
            <w:tcW w:w="708" w:type="dxa"/>
            <w:shd w:val="clear" w:color="auto" w:fill="auto"/>
            <w:noWrap/>
            <w:vAlign w:val="center"/>
            <w:hideMark/>
          </w:tcPr>
          <w:p w14:paraId="1BC593AB" w14:textId="77777777" w:rsidR="0058412C" w:rsidRPr="00A464CF" w:rsidRDefault="0058412C" w:rsidP="0058412C">
            <w:pPr>
              <w:jc w:val="right"/>
              <w:rPr>
                <w:rFonts w:eastAsia="Times New Roman"/>
                <w:sz w:val="22"/>
                <w:szCs w:val="22"/>
              </w:rPr>
            </w:pPr>
            <w:r w:rsidRPr="00A464CF">
              <w:rPr>
                <w:rFonts w:eastAsia="Times New Roman"/>
                <w:sz w:val="22"/>
                <w:szCs w:val="22"/>
              </w:rPr>
              <w:t>6</w:t>
            </w:r>
          </w:p>
        </w:tc>
        <w:tc>
          <w:tcPr>
            <w:tcW w:w="5378" w:type="dxa"/>
            <w:shd w:val="clear" w:color="auto" w:fill="auto"/>
            <w:vAlign w:val="center"/>
            <w:hideMark/>
          </w:tcPr>
          <w:p w14:paraId="05BED99F" w14:textId="77777777" w:rsidR="0058412C" w:rsidRPr="00A464CF" w:rsidRDefault="0058412C" w:rsidP="0058412C">
            <w:pPr>
              <w:jc w:val="both"/>
              <w:rPr>
                <w:rFonts w:eastAsia="Times New Roman"/>
                <w:sz w:val="22"/>
                <w:szCs w:val="22"/>
              </w:rPr>
            </w:pPr>
            <w:r w:rsidRPr="00A464CF">
              <w:rPr>
                <w:rFonts w:eastAsia="Times New Roman"/>
                <w:sz w:val="22"/>
                <w:szCs w:val="22"/>
              </w:rPr>
              <w:t>Tổ chức thực hiện có hiệu quả các chương trình, đề án dự án cấp quốc gia về phát triển đô thị, từng bước nâng cao chất lượng và hiện đại hóa hệ thống kết cấu hạ tầng đô thị, thúc đẩy tăng trưởng tại các khu vực, địa bàn còn khó khăn như vùng núi, ven biển và hải đảo</w:t>
            </w:r>
          </w:p>
        </w:tc>
        <w:tc>
          <w:tcPr>
            <w:tcW w:w="7771" w:type="dxa"/>
            <w:shd w:val="clear" w:color="auto" w:fill="auto"/>
            <w:vAlign w:val="center"/>
          </w:tcPr>
          <w:p w14:paraId="4E97AC46" w14:textId="790E8081" w:rsidR="007848F0" w:rsidRPr="00A464CF" w:rsidRDefault="007848F0" w:rsidP="0058412C">
            <w:pPr>
              <w:jc w:val="both"/>
              <w:rPr>
                <w:rFonts w:eastAsia="Times New Roman"/>
                <w:sz w:val="22"/>
                <w:szCs w:val="22"/>
              </w:rPr>
            </w:pPr>
            <w:r w:rsidRPr="00A464CF">
              <w:rPr>
                <w:rFonts w:eastAsia="Times New Roman"/>
                <w:sz w:val="22"/>
                <w:szCs w:val="22"/>
              </w:rPr>
              <w:t>- Bộ Xây dựng đã tích cực triển khai Chương trình phát triển đô thị Quốc gia giai đoạn 2012-2020. Đến nay tỷ lệ đô thị hóa đạt 39,3% (6/2020) (tăng 3,6% so với năm 2016), hệ thống đô thị phát triển lên 858 đô thị (6/2020) (tăng 9,02% so với 2016). Cùng với đó, hiện trên cả nước đã có 43/63 tỉnh lập Chương trình phát triển đô thị toàn tỉnh và có 96 đô thị lập Chương trình phát triển từng đô thị.</w:t>
            </w:r>
          </w:p>
          <w:p w14:paraId="7A442FBC" w14:textId="77777777" w:rsidR="007848F0" w:rsidRPr="00A464CF" w:rsidRDefault="007848F0" w:rsidP="007848F0">
            <w:pPr>
              <w:jc w:val="both"/>
              <w:rPr>
                <w:rFonts w:eastAsia="Times New Roman"/>
                <w:sz w:val="22"/>
                <w:szCs w:val="22"/>
              </w:rPr>
            </w:pPr>
            <w:r w:rsidRPr="00A464CF">
              <w:rPr>
                <w:rFonts w:eastAsia="Times New Roman"/>
                <w:sz w:val="22"/>
                <w:szCs w:val="22"/>
              </w:rPr>
              <w:t>- Ngoài ra, Chương trình nâng cấp đô thị quốc gia giai đoạn 2009 – 2020 cũng được các địa phương tích cực triển khai thực hiện, với 2 Dự án nổi bật: (i) Dự án Nâng cấp đô thị vùng đồng bằng Sông Cửu Long từ 2012 - 2018</w:t>
            </w:r>
            <w:r w:rsidRPr="00A464CF">
              <w:rPr>
                <w:rFonts w:eastAsia="Times New Roman"/>
                <w:sz w:val="22"/>
                <w:szCs w:val="22"/>
                <w:vertAlign w:val="superscript"/>
              </w:rPr>
              <w:footnoteReference w:id="11"/>
            </w:r>
            <w:r w:rsidRPr="00A464CF">
              <w:rPr>
                <w:rFonts w:eastAsia="Times New Roman"/>
                <w:sz w:val="22"/>
                <w:szCs w:val="22"/>
              </w:rPr>
              <w:t>, đã góp phần cải thiện đời sống, vệ sinh môi trường thông qua đầu tư nâng cấp hạ tầng các khu nghèo đô thị và khu vực kết nối góp phần thúc đẩy sự tăng trưởng bền vững, công bằng và có sự tham gia của xã hội; với khoảng 2 triệu người được hưởng lợi và đã nâng cấp xong 114/114 khu thu nhập thấp; (ii) Dự án Chương trình đô thị miền núi phía Bắc từ 2015 – 2020, được triển khai tại 7 đô thị</w:t>
            </w:r>
            <w:r w:rsidRPr="00A464CF">
              <w:rPr>
                <w:rFonts w:eastAsia="Times New Roman"/>
                <w:sz w:val="22"/>
                <w:szCs w:val="22"/>
                <w:vertAlign w:val="superscript"/>
              </w:rPr>
              <w:footnoteReference w:id="12"/>
            </w:r>
            <w:r w:rsidRPr="00A464CF">
              <w:rPr>
                <w:rFonts w:eastAsia="Times New Roman"/>
                <w:sz w:val="22"/>
                <w:szCs w:val="22"/>
              </w:rPr>
              <w:t xml:space="preserve"> để hỗ trợ các thành phố tham gia đạt được các mục tiêu kết quả của đô thị cũng như hoàn thiện các cơ chế chính sách về phát triển đô thị; tính đến hết QI/2020, dự án đã hoàn thành 80/122 hạng mục công trình; 32 hạng mục công trình đang thực hiện và 10 hạng mục đang xây dựng kế hoạch thực hiện.</w:t>
            </w:r>
          </w:p>
          <w:p w14:paraId="6AC32778" w14:textId="77777777" w:rsidR="007848F0" w:rsidRPr="00A464CF" w:rsidRDefault="007848F0" w:rsidP="007848F0">
            <w:pPr>
              <w:jc w:val="both"/>
              <w:rPr>
                <w:rFonts w:eastAsia="Times New Roman"/>
                <w:sz w:val="22"/>
                <w:szCs w:val="22"/>
              </w:rPr>
            </w:pPr>
            <w:r w:rsidRPr="00A464CF">
              <w:rPr>
                <w:rFonts w:eastAsia="Times New Roman"/>
                <w:sz w:val="22"/>
                <w:szCs w:val="22"/>
              </w:rPr>
              <w:t xml:space="preserve">- Về phát triển đô thị thông minh: Ngày 1/8/2018, Thủ tướng Chính phủ ký Quyết định số 950/QĐ-TTg (Đề án 950) phê duyệt Đề án phát triển đô thị thông minh bền vững Việt Nam giai đoạn 2018 – 2025 và định hướng đến 2030. Theo đó, các Bộ ngành đang </w:t>
            </w:r>
            <w:r w:rsidRPr="00A464CF">
              <w:rPr>
                <w:rFonts w:eastAsia="Times New Roman"/>
                <w:sz w:val="22"/>
                <w:szCs w:val="22"/>
              </w:rPr>
              <w:lastRenderedPageBreak/>
              <w:t>khẩn trương tiến hành nghiên cứu, hoàn thiện hệ thống văn bản quy phạm pháp luật và các cơ chế chính sách phát triển đô thị thông minh bền vững tại Việt Nam. Hiện nay, đã có 38/63 tỉnh/thành phố trực thuộc trung ương đã hoặc đang triển khai xây dựng đề án phát triển đô thị thông minh; khoảng 30 tỉnh đã triển khai phát triển một số dịch vụ về đô thị thông minh; 12/63 tỉnh đã triển khai xây dựng trung tâm điều hành đô thị thông minh; 13/63 tỉnh đã triển khai ứng dụng dịch vụ du lịch thông minh, khoảng trên 10 tỉnh triển khai các ứng dụng về giao thông thông minh, kiểm soát trật tự an toàn đô thị và một số ứng dụng khác. Bên cạnh đó, tổ chức các khóa đào tạo, bồi dưỡng phát triển nguồn nhân lực về xây dựng đô thị thông minh với các tổ chức trong nước và quốc tế. Trong năm 2019, Bộ Xây dựng cũng đã có Tờ trình số 68/TTr-BXD trình Thủ tướng Chính phủ phê duyệt Chiến lược phát triển đô thị đến năm 2030, tầm nhìn đến năm 2050. Hiện tại, Bộ Xây dựng đang tiếp tục theo dõi, phối hợp với Văn phòng Chính phủ để thực hiện các bước tiếp theo. Tuy nhiên, chất lượng hạ tầng đô thị, đặc biệt tại các thành phố lớn như Hà Nội, Thành phố Hồ Chí Minh chưa cao; việc xây dựng đô thị thông minh chưa được triển khai đồng bộ, có chiến lược trên phạm vi cả nước.</w:t>
            </w:r>
          </w:p>
          <w:p w14:paraId="3C64CCF9" w14:textId="09BD7BA3" w:rsidR="007848F0" w:rsidRPr="00A464CF" w:rsidRDefault="007848F0" w:rsidP="007848F0">
            <w:pPr>
              <w:jc w:val="both"/>
              <w:rPr>
                <w:rFonts w:eastAsia="Times New Roman"/>
                <w:sz w:val="22"/>
                <w:szCs w:val="22"/>
              </w:rPr>
            </w:pPr>
            <w:r w:rsidRPr="00A464CF">
              <w:rPr>
                <w:rFonts w:eastAsia="Times New Roman"/>
                <w:sz w:val="22"/>
                <w:szCs w:val="22"/>
              </w:rPr>
              <w:t>- Về quy hoạch hệ thống đô thị và nông thôn quốc gia thời kỳ 2021 – 2030, tầm nhìn 2050: Bộ Xây dựng đã xây dựng và trình Chính phủ đề án: “Xây dựng nông thôn mới trong quá trình đô thị hóa trên địa bàn cấp huyện” (Quyết định số 676/QĐ-TTg ngày 18/5/2017).  Bên cạnh đó, Bộ Xây dựng cũng đã tổ chức triển khai và trình Thủ tướng Chính phủ phê duyệt Nhiệm vụ lập Quy hoạch hệ thống đô thị và nông thôn thời kỳ 2021-2030, tầm nhìn đến năm 2050 tại Quyết định số 294/QĐ-TTg ngày 24/02/2020. Hiện tại, đang phối hợp với các đơn vị liên quan triển khai các quy trình thủ tục đấu thầu lựa chọn nhà thầu, theo kế hoạch sẽ trình Thủ tướng Chính phủ phê duyệt trong năm 2021.</w:t>
            </w:r>
          </w:p>
          <w:p w14:paraId="05AF5BB8" w14:textId="2B6DAF7C" w:rsidR="0058412C" w:rsidRPr="00A464CF" w:rsidRDefault="0058412C" w:rsidP="0058412C">
            <w:pPr>
              <w:jc w:val="both"/>
              <w:rPr>
                <w:rFonts w:eastAsia="Times New Roman"/>
                <w:sz w:val="22"/>
                <w:szCs w:val="22"/>
              </w:rPr>
            </w:pPr>
          </w:p>
        </w:tc>
        <w:tc>
          <w:tcPr>
            <w:tcW w:w="1306" w:type="dxa"/>
            <w:shd w:val="clear" w:color="auto" w:fill="auto"/>
            <w:vAlign w:val="center"/>
            <w:hideMark/>
          </w:tcPr>
          <w:p w14:paraId="335E42BD" w14:textId="77777777" w:rsidR="0058412C" w:rsidRPr="00A464CF" w:rsidRDefault="0058412C" w:rsidP="0058412C">
            <w:pPr>
              <w:rPr>
                <w:rFonts w:eastAsia="Times New Roman"/>
                <w:sz w:val="22"/>
                <w:szCs w:val="22"/>
              </w:rPr>
            </w:pPr>
            <w:r w:rsidRPr="00A464CF">
              <w:rPr>
                <w:rFonts w:eastAsia="Times New Roman"/>
                <w:sz w:val="22"/>
                <w:szCs w:val="22"/>
              </w:rPr>
              <w:lastRenderedPageBreak/>
              <w:t>Đã triển khai và có kết quả bước đầu</w:t>
            </w:r>
          </w:p>
        </w:tc>
      </w:tr>
      <w:tr w:rsidR="00A464CF" w:rsidRPr="00A464CF" w14:paraId="44DBEDF3" w14:textId="77777777" w:rsidTr="00AA2D1A">
        <w:trPr>
          <w:trHeight w:val="2543"/>
        </w:trPr>
        <w:tc>
          <w:tcPr>
            <w:tcW w:w="708" w:type="dxa"/>
            <w:shd w:val="clear" w:color="auto" w:fill="auto"/>
            <w:noWrap/>
            <w:vAlign w:val="center"/>
            <w:hideMark/>
          </w:tcPr>
          <w:p w14:paraId="3DDA7F5F" w14:textId="77777777" w:rsidR="0058412C" w:rsidRPr="00A464CF" w:rsidRDefault="0058412C" w:rsidP="0058412C">
            <w:pPr>
              <w:jc w:val="right"/>
              <w:rPr>
                <w:rFonts w:eastAsia="Times New Roman"/>
                <w:sz w:val="22"/>
                <w:szCs w:val="22"/>
              </w:rPr>
            </w:pPr>
            <w:r w:rsidRPr="00A464CF">
              <w:rPr>
                <w:rFonts w:eastAsia="Times New Roman"/>
                <w:sz w:val="22"/>
                <w:szCs w:val="22"/>
              </w:rPr>
              <w:lastRenderedPageBreak/>
              <w:t>7</w:t>
            </w:r>
          </w:p>
        </w:tc>
        <w:tc>
          <w:tcPr>
            <w:tcW w:w="5378" w:type="dxa"/>
            <w:shd w:val="clear" w:color="auto" w:fill="auto"/>
            <w:vAlign w:val="center"/>
            <w:hideMark/>
          </w:tcPr>
          <w:p w14:paraId="025543EB" w14:textId="77777777" w:rsidR="0058412C" w:rsidRPr="00A464CF" w:rsidRDefault="0058412C" w:rsidP="0058412C">
            <w:pPr>
              <w:jc w:val="both"/>
              <w:rPr>
                <w:rFonts w:eastAsia="Times New Roman"/>
                <w:sz w:val="22"/>
                <w:szCs w:val="22"/>
              </w:rPr>
            </w:pPr>
            <w:r w:rsidRPr="00A464CF">
              <w:rPr>
                <w:rFonts w:eastAsia="Times New Roman"/>
                <w:sz w:val="22"/>
                <w:szCs w:val="22"/>
              </w:rPr>
              <w:t>Tăng cường phối hợp, tập trung nguồn lực đầu tư xây dựng hệ thống kết cấu hạ tầng đồng bộ với một số công trình hiện đại, thân thiện với môi trường, ưu tiên các công trình lớn, quan trọng có tính lan tỏa đến phát triển kinh tế - xã hội các vùng, miền trong cả nước; từng bước hiện đại hóa hệ thống kết cấu hạ tầng kỹ thuật có tính kết nối liên vùng như đường cao tốc, đường quốc lộ, đường sắt, sân bay...</w:t>
            </w:r>
          </w:p>
        </w:tc>
        <w:tc>
          <w:tcPr>
            <w:tcW w:w="7771" w:type="dxa"/>
            <w:shd w:val="clear" w:color="auto" w:fill="auto"/>
            <w:vAlign w:val="center"/>
            <w:hideMark/>
          </w:tcPr>
          <w:p w14:paraId="1C1B5122" w14:textId="719D3E31" w:rsidR="0058412C" w:rsidRPr="00A464CF" w:rsidRDefault="0058412C" w:rsidP="007848F0">
            <w:pPr>
              <w:jc w:val="both"/>
              <w:rPr>
                <w:rFonts w:eastAsia="Times New Roman"/>
                <w:sz w:val="22"/>
                <w:szCs w:val="22"/>
              </w:rPr>
            </w:pPr>
            <w:r w:rsidRPr="00A464CF">
              <w:rPr>
                <w:rFonts w:eastAsia="Times New Roman"/>
                <w:sz w:val="22"/>
                <w:szCs w:val="22"/>
              </w:rPr>
              <w:t xml:space="preserve">Các Bộ, ngành đã phối hợp trong việc tập trung nguồn vốn để triển khai các công trình quan trọng quốc gia, công trình trọng điểm; phối hợp trong xác định tổng nguồn vốn đầu tư phát triển trong năm, trong đó có phân bổ vốn cho đầu tư nông nghiệp nông thôn, ứng phó biến đổi khí hậu. </w:t>
            </w:r>
          </w:p>
        </w:tc>
        <w:tc>
          <w:tcPr>
            <w:tcW w:w="1306" w:type="dxa"/>
            <w:shd w:val="clear" w:color="auto" w:fill="auto"/>
            <w:vAlign w:val="center"/>
            <w:hideMark/>
          </w:tcPr>
          <w:p w14:paraId="5F04591F" w14:textId="77777777" w:rsidR="0058412C" w:rsidRPr="00A464CF" w:rsidRDefault="0058412C" w:rsidP="0058412C">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621E93CC" w14:textId="77777777" w:rsidTr="00AA2D1A">
        <w:trPr>
          <w:trHeight w:val="60"/>
        </w:trPr>
        <w:tc>
          <w:tcPr>
            <w:tcW w:w="708" w:type="dxa"/>
            <w:shd w:val="clear" w:color="auto" w:fill="auto"/>
            <w:noWrap/>
            <w:vAlign w:val="center"/>
            <w:hideMark/>
          </w:tcPr>
          <w:p w14:paraId="44446E80" w14:textId="77777777" w:rsidR="0058412C" w:rsidRPr="00A464CF" w:rsidRDefault="0058412C" w:rsidP="0058412C">
            <w:pPr>
              <w:jc w:val="right"/>
              <w:rPr>
                <w:rFonts w:eastAsia="Times New Roman"/>
                <w:sz w:val="22"/>
                <w:szCs w:val="22"/>
              </w:rPr>
            </w:pPr>
            <w:r w:rsidRPr="00A464CF">
              <w:rPr>
                <w:rFonts w:eastAsia="Times New Roman"/>
                <w:sz w:val="22"/>
                <w:szCs w:val="22"/>
              </w:rPr>
              <w:lastRenderedPageBreak/>
              <w:t>8</w:t>
            </w:r>
          </w:p>
        </w:tc>
        <w:tc>
          <w:tcPr>
            <w:tcW w:w="5378" w:type="dxa"/>
            <w:shd w:val="clear" w:color="auto" w:fill="auto"/>
            <w:vAlign w:val="center"/>
            <w:hideMark/>
          </w:tcPr>
          <w:p w14:paraId="104FFB92" w14:textId="77777777" w:rsidR="0058412C" w:rsidRPr="00A464CF" w:rsidRDefault="0058412C" w:rsidP="0058412C">
            <w:pPr>
              <w:jc w:val="both"/>
              <w:rPr>
                <w:rFonts w:eastAsia="Times New Roman"/>
                <w:sz w:val="22"/>
                <w:szCs w:val="22"/>
              </w:rPr>
            </w:pPr>
            <w:r w:rsidRPr="00A464CF">
              <w:rPr>
                <w:rFonts w:eastAsia="Times New Roman"/>
                <w:sz w:val="22"/>
                <w:szCs w:val="22"/>
              </w:rPr>
              <w:t>Tiếp tục triển khai xây dựng, cải tạo, nâng cấp các tuyến đường bộ, đường bộ cao tốc trong đó ưu tiên cho đường bộ cao tốc Bắc - Nam, đường thủy nội địa và đường ven biển, dự án Cảng hàng không quốc tế Long Thành</w:t>
            </w:r>
          </w:p>
        </w:tc>
        <w:tc>
          <w:tcPr>
            <w:tcW w:w="7771" w:type="dxa"/>
            <w:shd w:val="clear" w:color="auto" w:fill="auto"/>
            <w:vAlign w:val="center"/>
            <w:hideMark/>
          </w:tcPr>
          <w:p w14:paraId="6772C60F" w14:textId="77777777" w:rsidR="0058412C" w:rsidRPr="00A464CF" w:rsidRDefault="0058412C" w:rsidP="0058412C">
            <w:pPr>
              <w:jc w:val="both"/>
              <w:rPr>
                <w:rFonts w:eastAsia="Times New Roman"/>
                <w:sz w:val="22"/>
                <w:szCs w:val="22"/>
              </w:rPr>
            </w:pPr>
            <w:r w:rsidRPr="00A464CF">
              <w:rPr>
                <w:rFonts w:eastAsia="Times New Roman"/>
                <w:sz w:val="22"/>
                <w:szCs w:val="22"/>
              </w:rPr>
              <w:t>Bộ Giao thông vận tải đã hoàn thiện đúng tiến độ Báo cáo nghiên cứu tiền khả thi Dự án đầu tư xây dựng một số đoạn đường bộ cao tốc trên tuyến Bắc- Nam phía Đông giai đoạn 2017-2020 và nghiên cứu khả thi dự án thu hồi đất, bồi thường, hỗ trợ, tái định cư Cảng hàng không quốc tế Long Thành để trình Quốc hội thông qua.</w:t>
            </w:r>
          </w:p>
        </w:tc>
        <w:tc>
          <w:tcPr>
            <w:tcW w:w="1306" w:type="dxa"/>
            <w:shd w:val="clear" w:color="auto" w:fill="auto"/>
            <w:vAlign w:val="center"/>
            <w:hideMark/>
          </w:tcPr>
          <w:p w14:paraId="39252C3B" w14:textId="77777777" w:rsidR="0058412C" w:rsidRPr="00A464CF" w:rsidRDefault="0058412C" w:rsidP="0058412C">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1EC4EAB2" w14:textId="77777777" w:rsidTr="00AA2D1A">
        <w:trPr>
          <w:trHeight w:val="1005"/>
        </w:trPr>
        <w:tc>
          <w:tcPr>
            <w:tcW w:w="708" w:type="dxa"/>
            <w:shd w:val="clear" w:color="auto" w:fill="auto"/>
            <w:noWrap/>
            <w:vAlign w:val="center"/>
            <w:hideMark/>
          </w:tcPr>
          <w:p w14:paraId="4A18D412" w14:textId="77777777" w:rsidR="007848F0" w:rsidRPr="00A464CF" w:rsidRDefault="007848F0" w:rsidP="007848F0">
            <w:pPr>
              <w:jc w:val="center"/>
              <w:rPr>
                <w:rFonts w:eastAsia="Times New Roman"/>
                <w:sz w:val="22"/>
                <w:szCs w:val="22"/>
              </w:rPr>
            </w:pPr>
            <w:r w:rsidRPr="00A464CF">
              <w:rPr>
                <w:rFonts w:eastAsia="Times New Roman"/>
                <w:sz w:val="22"/>
                <w:szCs w:val="22"/>
              </w:rPr>
              <w:t>9</w:t>
            </w:r>
          </w:p>
        </w:tc>
        <w:tc>
          <w:tcPr>
            <w:tcW w:w="5378" w:type="dxa"/>
            <w:shd w:val="clear" w:color="auto" w:fill="auto"/>
            <w:vAlign w:val="center"/>
            <w:hideMark/>
          </w:tcPr>
          <w:p w14:paraId="358CA403" w14:textId="77777777" w:rsidR="007848F0" w:rsidRPr="00A464CF" w:rsidRDefault="007848F0" w:rsidP="007848F0">
            <w:pPr>
              <w:jc w:val="both"/>
              <w:rPr>
                <w:rFonts w:eastAsia="Times New Roman"/>
                <w:sz w:val="22"/>
                <w:szCs w:val="22"/>
              </w:rPr>
            </w:pPr>
            <w:r w:rsidRPr="00A464CF">
              <w:rPr>
                <w:rFonts w:eastAsia="Times New Roman"/>
                <w:sz w:val="22"/>
                <w:szCs w:val="22"/>
              </w:rPr>
              <w:t>Nghiên cứu xây dựng trong năm 2017 Đề án về xây dựng khu hợp tác kinh tế qua biên giới</w:t>
            </w:r>
          </w:p>
        </w:tc>
        <w:tc>
          <w:tcPr>
            <w:tcW w:w="7771" w:type="dxa"/>
            <w:shd w:val="clear" w:color="auto" w:fill="auto"/>
            <w:vAlign w:val="center"/>
            <w:hideMark/>
          </w:tcPr>
          <w:p w14:paraId="6F7CC906" w14:textId="02CE08C6" w:rsidR="007848F0" w:rsidRPr="00A464CF" w:rsidRDefault="007848F0" w:rsidP="007848F0">
            <w:pPr>
              <w:jc w:val="both"/>
              <w:rPr>
                <w:rFonts w:eastAsia="Times New Roman"/>
                <w:sz w:val="22"/>
                <w:szCs w:val="22"/>
              </w:rPr>
            </w:pPr>
            <w:r w:rsidRPr="00A464CF">
              <w:rPr>
                <w:sz w:val="22"/>
              </w:rPr>
              <w:t>Tờ trình số 18-TTr/BCSĐ ngày 19/6/2020 của Ban Cán sự đảng Bộ Công Thương</w:t>
            </w:r>
          </w:p>
        </w:tc>
        <w:tc>
          <w:tcPr>
            <w:tcW w:w="1306" w:type="dxa"/>
            <w:shd w:val="clear" w:color="auto" w:fill="auto"/>
            <w:vAlign w:val="center"/>
            <w:hideMark/>
          </w:tcPr>
          <w:p w14:paraId="2138E564"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64C9EA63" w14:textId="77777777" w:rsidTr="00AA2D1A">
        <w:trPr>
          <w:trHeight w:val="345"/>
        </w:trPr>
        <w:tc>
          <w:tcPr>
            <w:tcW w:w="708" w:type="dxa"/>
            <w:shd w:val="clear" w:color="auto" w:fill="auto"/>
            <w:noWrap/>
            <w:vAlign w:val="center"/>
            <w:hideMark/>
          </w:tcPr>
          <w:p w14:paraId="036C7F71" w14:textId="77777777" w:rsidR="007848F0" w:rsidRPr="00A464CF" w:rsidRDefault="007848F0" w:rsidP="007848F0">
            <w:pPr>
              <w:jc w:val="center"/>
              <w:rPr>
                <w:rFonts w:eastAsia="Times New Roman"/>
                <w:b/>
                <w:bCs/>
                <w:sz w:val="22"/>
                <w:szCs w:val="22"/>
              </w:rPr>
            </w:pPr>
            <w:r w:rsidRPr="00A464CF">
              <w:rPr>
                <w:rFonts w:eastAsia="Times New Roman"/>
                <w:b/>
                <w:bCs/>
                <w:sz w:val="22"/>
                <w:szCs w:val="22"/>
              </w:rPr>
              <w:t>IV</w:t>
            </w:r>
          </w:p>
        </w:tc>
        <w:tc>
          <w:tcPr>
            <w:tcW w:w="14455" w:type="dxa"/>
            <w:gridSpan w:val="3"/>
            <w:shd w:val="clear" w:color="auto" w:fill="auto"/>
            <w:vAlign w:val="center"/>
            <w:hideMark/>
          </w:tcPr>
          <w:p w14:paraId="7461BE2E" w14:textId="77777777" w:rsidR="007848F0" w:rsidRPr="00A464CF" w:rsidRDefault="007848F0" w:rsidP="007848F0">
            <w:pPr>
              <w:rPr>
                <w:rFonts w:eastAsia="Times New Roman"/>
                <w:b/>
                <w:bCs/>
                <w:sz w:val="22"/>
                <w:szCs w:val="22"/>
              </w:rPr>
            </w:pPr>
            <w:r w:rsidRPr="00A464CF">
              <w:rPr>
                <w:rFonts w:eastAsia="Times New Roman"/>
                <w:b/>
                <w:bCs/>
                <w:sz w:val="22"/>
                <w:szCs w:val="22"/>
              </w:rPr>
              <w:t>Phát triển nguồn nhân lực đáp ứng yêu cầu phát triển</w:t>
            </w:r>
          </w:p>
        </w:tc>
      </w:tr>
      <w:tr w:rsidR="00A464CF" w:rsidRPr="00A464CF" w14:paraId="0F0E734C" w14:textId="77777777" w:rsidTr="00AA2D1A">
        <w:trPr>
          <w:trHeight w:val="552"/>
        </w:trPr>
        <w:tc>
          <w:tcPr>
            <w:tcW w:w="708" w:type="dxa"/>
            <w:shd w:val="clear" w:color="auto" w:fill="auto"/>
            <w:noWrap/>
            <w:vAlign w:val="center"/>
            <w:hideMark/>
          </w:tcPr>
          <w:p w14:paraId="3131C596" w14:textId="77777777" w:rsidR="007848F0" w:rsidRPr="00A464CF" w:rsidRDefault="007848F0" w:rsidP="007848F0">
            <w:pPr>
              <w:jc w:val="right"/>
              <w:rPr>
                <w:rFonts w:eastAsia="Times New Roman"/>
                <w:sz w:val="22"/>
                <w:szCs w:val="22"/>
              </w:rPr>
            </w:pPr>
            <w:r w:rsidRPr="00A464CF">
              <w:rPr>
                <w:rFonts w:eastAsia="Times New Roman"/>
                <w:sz w:val="22"/>
                <w:szCs w:val="22"/>
              </w:rPr>
              <w:t>1</w:t>
            </w:r>
          </w:p>
        </w:tc>
        <w:tc>
          <w:tcPr>
            <w:tcW w:w="5378" w:type="dxa"/>
            <w:shd w:val="clear" w:color="auto" w:fill="auto"/>
            <w:vAlign w:val="center"/>
            <w:hideMark/>
          </w:tcPr>
          <w:p w14:paraId="5D75DB5D" w14:textId="77777777" w:rsidR="007848F0" w:rsidRPr="00A464CF" w:rsidRDefault="007848F0" w:rsidP="007848F0">
            <w:pPr>
              <w:jc w:val="both"/>
              <w:rPr>
                <w:rFonts w:eastAsia="Times New Roman"/>
                <w:sz w:val="22"/>
                <w:szCs w:val="22"/>
              </w:rPr>
            </w:pPr>
            <w:r w:rsidRPr="00A464CF">
              <w:rPr>
                <w:rFonts w:eastAsia="Times New Roman"/>
                <w:sz w:val="22"/>
                <w:szCs w:val="22"/>
              </w:rPr>
              <w:t>Rà soát, sắp xếp, quy hoạch lại mạng lưới cơ sở giáo dục đại học, giáo dục nghề nghiệp gắn với quy hoạch phát triển kinh tế - xã hội và nhu cầu của thị trường lao động trong cả nước, từng vùng và địa phương. Nâng cao chất lượng đào tạo của các trường sư phạm. Thực hiện tốt công tác tuyển sinh đại học, cao đẳng. Xây dựng cơ chế, chính sách phân luồng giáo dục, gắn với đào tạo nghề và phát triển kỹ năng nghề nghiệp cho học sinh phổ thông</w:t>
            </w:r>
          </w:p>
        </w:tc>
        <w:tc>
          <w:tcPr>
            <w:tcW w:w="7771" w:type="dxa"/>
            <w:shd w:val="clear" w:color="auto" w:fill="auto"/>
            <w:vAlign w:val="center"/>
            <w:hideMark/>
          </w:tcPr>
          <w:p w14:paraId="0D6D70C1" w14:textId="353343BC" w:rsidR="007848F0" w:rsidRPr="00A464CF" w:rsidRDefault="007848F0" w:rsidP="007848F0">
            <w:pPr>
              <w:jc w:val="both"/>
              <w:rPr>
                <w:rFonts w:eastAsia="Times New Roman"/>
                <w:sz w:val="22"/>
                <w:szCs w:val="22"/>
              </w:rPr>
            </w:pPr>
            <w:r w:rsidRPr="00A464CF">
              <w:rPr>
                <w:rFonts w:eastAsia="Times New Roman"/>
                <w:sz w:val="22"/>
                <w:szCs w:val="22"/>
              </w:rPr>
              <w:t>Quy hoạch mạng lưới cơ sở giáo dục đại học giai đoạn 2017-2025 đang được rà soát, chỉnh sửa. Tính đến tháng 6/2017, các cơ sở đào tạo có 235 trường đại học, học viện, 32 trường cao đẳng sư phạm và 02 trường trung cấp sư phạm; trong đó có 92 cơ sở đào tạo sư phạm với 9 trường đại học, 30 khoa sư phạm thuộc các trường, 32 trường cao đẳng sư phạm. Các địa phương cũng đang rà soát, sắp xếp lại mạng lưới cơ sở giáo dục nghề nghiệp, trong đó sáp nhập các trường trên cùng địa bàn, giải thể các trường hoạt động không hiệu quả, sáp nhập trường trung cấp vào trường cao đẳng, sáp nhập trường cao đẳng, trung cấp vào trường đại họcTuy nhiên, mạng lưới các cơ sở giáo dục đại học phát triển dàn trải, chưa có sự phân loại theo chất lượng để có chính sách ưu tiên đầu tư. Nhiều cơ sở giáo dục đại học chưa quan tâm đầu tư điều kiện đảm bảo chất lượng đào tạo để đáp ứng quy mô tuyển sinh. Công tác tuyển sinh đại học tiếp tục được đổi mới nhưng vẫn còn nhiều vướng mắc. Việc định hướng nghề chưa được thực hiện tốt; tỷ lệ học sinh lựa chọn học đại học vẫn mất cân đối so với việc lựa chọn học nghề (lần lượt khoảng 74% và 26%).</w:t>
            </w:r>
          </w:p>
        </w:tc>
        <w:tc>
          <w:tcPr>
            <w:tcW w:w="1306" w:type="dxa"/>
            <w:shd w:val="clear" w:color="auto" w:fill="auto"/>
            <w:vAlign w:val="center"/>
            <w:hideMark/>
          </w:tcPr>
          <w:p w14:paraId="3A8B5A28"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0BF953C6" w14:textId="77777777" w:rsidTr="00AA2D1A">
        <w:trPr>
          <w:trHeight w:val="3819"/>
        </w:trPr>
        <w:tc>
          <w:tcPr>
            <w:tcW w:w="708" w:type="dxa"/>
            <w:shd w:val="clear" w:color="auto" w:fill="auto"/>
            <w:noWrap/>
            <w:vAlign w:val="center"/>
            <w:hideMark/>
          </w:tcPr>
          <w:p w14:paraId="3869D804" w14:textId="77777777" w:rsidR="007848F0" w:rsidRPr="00A464CF" w:rsidRDefault="007848F0" w:rsidP="007848F0">
            <w:pPr>
              <w:jc w:val="center"/>
              <w:rPr>
                <w:rFonts w:eastAsia="Times New Roman"/>
                <w:sz w:val="22"/>
                <w:szCs w:val="22"/>
              </w:rPr>
            </w:pPr>
            <w:r w:rsidRPr="00A464CF">
              <w:rPr>
                <w:rFonts w:eastAsia="Times New Roman"/>
                <w:sz w:val="22"/>
                <w:szCs w:val="22"/>
              </w:rPr>
              <w:lastRenderedPageBreak/>
              <w:t>2</w:t>
            </w:r>
          </w:p>
        </w:tc>
        <w:tc>
          <w:tcPr>
            <w:tcW w:w="5378" w:type="dxa"/>
            <w:shd w:val="clear" w:color="auto" w:fill="auto"/>
            <w:vAlign w:val="center"/>
            <w:hideMark/>
          </w:tcPr>
          <w:p w14:paraId="4F90EE24" w14:textId="77777777" w:rsidR="007848F0" w:rsidRPr="00A464CF" w:rsidRDefault="007848F0" w:rsidP="007848F0">
            <w:pPr>
              <w:jc w:val="both"/>
              <w:rPr>
                <w:rFonts w:eastAsia="Times New Roman"/>
                <w:sz w:val="22"/>
                <w:szCs w:val="22"/>
              </w:rPr>
            </w:pPr>
            <w:r w:rsidRPr="00A464CF">
              <w:rPr>
                <w:rFonts w:eastAsia="Times New Roman"/>
                <w:sz w:val="22"/>
                <w:szCs w:val="22"/>
              </w:rPr>
              <w:t>Tiếp tục đổi mới nội dung, phương thức đào tạo nhằm nâng cao chất lượng và hiệu quả giáo dục đại học và giáo dục nghề nghiệp; nâng cao chất lượng đào tạo một số trường đại học, một số nghề tiếp cận trình độ các nước phát triển trong ASEAN và thế giới</w:t>
            </w:r>
          </w:p>
        </w:tc>
        <w:tc>
          <w:tcPr>
            <w:tcW w:w="7771" w:type="dxa"/>
            <w:shd w:val="clear" w:color="auto" w:fill="auto"/>
            <w:vAlign w:val="center"/>
            <w:hideMark/>
          </w:tcPr>
          <w:p w14:paraId="060CA902" w14:textId="77777777" w:rsidR="007848F0" w:rsidRPr="00A464CF" w:rsidRDefault="007848F0" w:rsidP="007848F0">
            <w:pPr>
              <w:jc w:val="both"/>
              <w:rPr>
                <w:rFonts w:eastAsia="Times New Roman"/>
                <w:sz w:val="22"/>
                <w:szCs w:val="22"/>
              </w:rPr>
            </w:pPr>
            <w:r w:rsidRPr="00A464CF">
              <w:rPr>
                <w:rFonts w:eastAsia="Times New Roman"/>
                <w:sz w:val="22"/>
                <w:szCs w:val="22"/>
              </w:rPr>
              <w:t>Nhiều giải pháp nâng cao chất lượng đào tạo nghề cho lao động nông thôn; nhân rộng mô hình đào tạo nghề cho lao động nông thôn gắn với xây dựng các mô hình học tập nghề trong cộng đồng. Bộ Lao động, Thương binh và Xã hội đã tổ chức hướng dẫn, kiểm tra công tác kiểm định và đảm bảo chất lượng dạy nghề, phát triển hệ thống đánh giá và cấp chứng chỉ kỹ năng nghề quốc gia. Đến nay, Bộ đã tổ chức đánh giá cho 26.000 người, cấp chứng chỉ cho 23.000 người đạt yêu cầu, cấp lại cho 32 tổ chức giấy chứng nhận đánh giá, cấp chứng chỉ kỹ năng nghề quốc gia, cấp mới 7 tổ chức đủ điều kiện đánh giá, cấp chứng chỉ kỹ năng nghề quốc gia. Một số nghề đã tiếp cận được trình độ của các nước tiên tiến như các ngành nghề trong lĩnh vực du lịch, dịch vụ.</w:t>
            </w:r>
            <w:r w:rsidRPr="00A464CF">
              <w:rPr>
                <w:rFonts w:eastAsia="Times New Roman"/>
                <w:sz w:val="22"/>
                <w:szCs w:val="22"/>
              </w:rPr>
              <w:br w:type="page"/>
              <w:t>Chất lượng đào tạo của một số trường đại học đã có sự cải thiện, Trường Đại học Bách Khoa Hồ Chí Minh đã đạt kiểm định chất lượng của Mạng lưới các trường đại học khu vực Đông Nam Á. Nội dung, phương thức đào tạo đã có sự cải thiện. Tuy nhiên, việc tăng cường thực hành cho học viên còn nhiều hạn chế. Đội ngũ giảng viên, đặc biệt là giảng viên cơ hữu còn thiếu về số lượng và chưa đáp ứng yêu cầu về trình độ chuyên môn ở một số trường đại học.</w:t>
            </w:r>
          </w:p>
        </w:tc>
        <w:tc>
          <w:tcPr>
            <w:tcW w:w="1306" w:type="dxa"/>
            <w:shd w:val="clear" w:color="auto" w:fill="auto"/>
            <w:vAlign w:val="center"/>
            <w:hideMark/>
          </w:tcPr>
          <w:p w14:paraId="2EBC619B"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3E93230F" w14:textId="77777777" w:rsidTr="00AA2D1A">
        <w:trPr>
          <w:trHeight w:val="2826"/>
        </w:trPr>
        <w:tc>
          <w:tcPr>
            <w:tcW w:w="708" w:type="dxa"/>
            <w:shd w:val="clear" w:color="auto" w:fill="auto"/>
            <w:noWrap/>
            <w:vAlign w:val="center"/>
            <w:hideMark/>
          </w:tcPr>
          <w:p w14:paraId="770F8BF2" w14:textId="77777777" w:rsidR="007848F0" w:rsidRPr="00A464CF" w:rsidRDefault="007848F0" w:rsidP="007848F0">
            <w:pPr>
              <w:jc w:val="right"/>
              <w:rPr>
                <w:rFonts w:eastAsia="Times New Roman"/>
                <w:sz w:val="22"/>
                <w:szCs w:val="22"/>
              </w:rPr>
            </w:pPr>
            <w:r w:rsidRPr="00A464CF">
              <w:rPr>
                <w:rFonts w:eastAsia="Times New Roman"/>
                <w:sz w:val="22"/>
                <w:szCs w:val="22"/>
              </w:rPr>
              <w:t>3</w:t>
            </w:r>
          </w:p>
        </w:tc>
        <w:tc>
          <w:tcPr>
            <w:tcW w:w="5378" w:type="dxa"/>
            <w:shd w:val="clear" w:color="auto" w:fill="auto"/>
            <w:vAlign w:val="center"/>
            <w:hideMark/>
          </w:tcPr>
          <w:p w14:paraId="2A78CBE2" w14:textId="7B587DF5" w:rsidR="007848F0" w:rsidRPr="00A464CF" w:rsidRDefault="007848F0" w:rsidP="007848F0">
            <w:pPr>
              <w:jc w:val="both"/>
              <w:rPr>
                <w:rFonts w:eastAsia="Times New Roman"/>
                <w:sz w:val="22"/>
                <w:szCs w:val="22"/>
              </w:rPr>
            </w:pPr>
            <w:r w:rsidRPr="00A464CF">
              <w:rPr>
                <w:rFonts w:eastAsia="Times New Roman"/>
                <w:sz w:val="22"/>
                <w:szCs w:val="22"/>
              </w:rPr>
              <w:t>Thực hiện phân cấp quản lý nhà nước về giáo dục, đào tạo; đẩy mạnh việc giao quyền tự chủ, tự chịu trách nhiệm và nâng cao trách nhiệm giải trình của các cơ sở giáo dục và đào tạo, thực hiện tự chủ các trường đại học, cao đẳng công lập. Tăng cường kiểm soát chất lượng đầu ra của các cơ sở giáo dục đại học; công khai thông tin về các điều kiện đảm bảo chất lượng của nhà trường; đẩy mạnh công tác kiểm định chất lượng giáo dục, trên cơ sở đó thực hiện phân tầng, xếp hạng các cơ sở giáo dục đại học</w:t>
            </w:r>
          </w:p>
        </w:tc>
        <w:tc>
          <w:tcPr>
            <w:tcW w:w="7771" w:type="dxa"/>
            <w:shd w:val="clear" w:color="auto" w:fill="auto"/>
            <w:vAlign w:val="center"/>
            <w:hideMark/>
          </w:tcPr>
          <w:p w14:paraId="2BB22139" w14:textId="77777777" w:rsidR="00207398" w:rsidRPr="00A464CF" w:rsidRDefault="007848F0" w:rsidP="007848F0">
            <w:pPr>
              <w:jc w:val="both"/>
              <w:rPr>
                <w:rFonts w:eastAsia="Times New Roman"/>
                <w:sz w:val="22"/>
                <w:szCs w:val="22"/>
              </w:rPr>
            </w:pPr>
            <w:r w:rsidRPr="00A464CF">
              <w:rPr>
                <w:rFonts w:eastAsia="Times New Roman"/>
                <w:sz w:val="22"/>
                <w:szCs w:val="22"/>
              </w:rPr>
              <w:t xml:space="preserve">Cơ chế phân cấp, giao quyền tự chủ được đẩy mạnh. Đến nay đã có 23 cơ sở giáo dục đại học công lập đổi mới cơ chế hoạt động. Các cơ sở giáo dục được giao tự chủ toàn diện hơn trong các lĩnh vực hoạt động như học thuật, hợp tác quốc tế, chuyên môn, tài chính, nhân sự. Tuy nhiên, việc thực hiện tự chủ chưa gắn liền với đổi mới quản trị nhà trường. Nhiều cơ sở chưa nhận thức đúng và đầy đủ nên lúng túng trong thực hiện; một số cơ sở dựa vào lợi thế ngành để chú trọng tăng học phí và tăng chỉ tiêu tuyển sinh mà chưa chú trọng đúng mức đến nâng cao chất lượng đào tạo. Các trường đại học trực thuộc địa phương cũng chưa sẵn sang chuẩn bị tự chủ đại học. </w:t>
            </w:r>
          </w:p>
          <w:p w14:paraId="77327870" w14:textId="6D6736E7" w:rsidR="007848F0" w:rsidRPr="00A464CF" w:rsidRDefault="007848F0" w:rsidP="007848F0">
            <w:pPr>
              <w:jc w:val="both"/>
              <w:rPr>
                <w:rFonts w:eastAsia="Times New Roman"/>
                <w:sz w:val="22"/>
                <w:szCs w:val="22"/>
              </w:rPr>
            </w:pPr>
            <w:r w:rsidRPr="00A464CF">
              <w:rPr>
                <w:rFonts w:eastAsia="Times New Roman"/>
                <w:sz w:val="22"/>
                <w:szCs w:val="22"/>
              </w:rPr>
              <w:t>Bộ Giáo dục và Đào tạo đã ban hành Thông tư số 12/2017/TT-BGDĐT ngày 19/5/2017 ban hành Quy định về kiểm định chất lượng cơ sở giáo dục đại học.</w:t>
            </w:r>
            <w:r w:rsidRPr="00A464CF">
              <w:rPr>
                <w:rFonts w:eastAsia="Times New Roman"/>
                <w:sz w:val="22"/>
                <w:szCs w:val="22"/>
              </w:rPr>
              <w:br w:type="page"/>
              <w:t>Trong đào tạo nghề, Bộ Lao động, Thương binh và Xã hội đang chỉnh sửa dự thảo quy hoạch mạng lưới cơ sở giáo dục nghề nghiệp theo hướng tăng tính tự chủ của các cơ sở giáo dục nghề nghiệp; tăng tự chủ trong lựa chọn hình thức đào tạo, xây dựng và xác định chương trình đào tạo, chỉ tiêu đào tạo đối với các cơ sở giáo dục nghề nghiệp. Bộ tiếp tục nghiên cứu, hoàn thiện tiêu chí trường nghề chất lượng cao.</w:t>
            </w:r>
          </w:p>
        </w:tc>
        <w:tc>
          <w:tcPr>
            <w:tcW w:w="1306" w:type="dxa"/>
            <w:shd w:val="clear" w:color="auto" w:fill="auto"/>
            <w:vAlign w:val="center"/>
            <w:hideMark/>
          </w:tcPr>
          <w:p w14:paraId="66434AA2"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334E5687" w14:textId="77777777" w:rsidTr="00AA2D1A">
        <w:trPr>
          <w:trHeight w:val="3110"/>
        </w:trPr>
        <w:tc>
          <w:tcPr>
            <w:tcW w:w="708" w:type="dxa"/>
            <w:shd w:val="clear" w:color="auto" w:fill="auto"/>
            <w:noWrap/>
            <w:vAlign w:val="center"/>
            <w:hideMark/>
          </w:tcPr>
          <w:p w14:paraId="2DB4DA1B" w14:textId="77777777" w:rsidR="007848F0" w:rsidRPr="00A464CF" w:rsidRDefault="007848F0" w:rsidP="007848F0">
            <w:pPr>
              <w:jc w:val="center"/>
              <w:rPr>
                <w:rFonts w:eastAsia="Times New Roman"/>
                <w:sz w:val="22"/>
                <w:szCs w:val="22"/>
              </w:rPr>
            </w:pPr>
            <w:r w:rsidRPr="00A464CF">
              <w:rPr>
                <w:rFonts w:eastAsia="Times New Roman"/>
                <w:sz w:val="22"/>
                <w:szCs w:val="22"/>
              </w:rPr>
              <w:lastRenderedPageBreak/>
              <w:t>4</w:t>
            </w:r>
          </w:p>
        </w:tc>
        <w:tc>
          <w:tcPr>
            <w:tcW w:w="5378" w:type="dxa"/>
            <w:shd w:val="clear" w:color="auto" w:fill="auto"/>
            <w:vAlign w:val="center"/>
            <w:hideMark/>
          </w:tcPr>
          <w:p w14:paraId="0E20079E" w14:textId="77777777" w:rsidR="007848F0" w:rsidRPr="00A464CF" w:rsidRDefault="007848F0" w:rsidP="007848F0">
            <w:pPr>
              <w:jc w:val="both"/>
              <w:rPr>
                <w:rFonts w:eastAsia="Times New Roman"/>
                <w:sz w:val="22"/>
                <w:szCs w:val="22"/>
              </w:rPr>
            </w:pPr>
            <w:r w:rsidRPr="00A464CF">
              <w:rPr>
                <w:rFonts w:eastAsia="Times New Roman"/>
                <w:sz w:val="22"/>
                <w:szCs w:val="22"/>
              </w:rPr>
              <w:t>Nâng cao chất lượng dạy và học ngoại ngữ ở các cấp học, trình độ đào tạo. Đẩy mạnh ứng dụng công nghệ thông tin trong quản lý và hoạt động giảng dạy nghiên cứu, góp phần đẩy mạnh cải cách hành chính và nâng cao chất lượng đào tạo</w:t>
            </w:r>
          </w:p>
        </w:tc>
        <w:tc>
          <w:tcPr>
            <w:tcW w:w="7771" w:type="dxa"/>
            <w:shd w:val="clear" w:color="auto" w:fill="auto"/>
            <w:vAlign w:val="center"/>
            <w:hideMark/>
          </w:tcPr>
          <w:p w14:paraId="0C5DCD54" w14:textId="77777777" w:rsidR="00207398" w:rsidRPr="00A464CF" w:rsidRDefault="007848F0" w:rsidP="007848F0">
            <w:pPr>
              <w:jc w:val="both"/>
              <w:rPr>
                <w:rFonts w:eastAsia="Times New Roman"/>
                <w:sz w:val="22"/>
                <w:szCs w:val="22"/>
              </w:rPr>
            </w:pPr>
            <w:r w:rsidRPr="00A464CF">
              <w:rPr>
                <w:rFonts w:eastAsia="Times New Roman"/>
                <w:sz w:val="22"/>
                <w:szCs w:val="22"/>
              </w:rPr>
              <w:t xml:space="preserve">Đề án điều chỉnh, bổ sung việc dạy và học ngoại ngữ trong hệ thống giáo dục quốc dân cho giai đoạn 2017-2020 và những năm tiếp theo đang được xây dựng. </w:t>
            </w:r>
          </w:p>
          <w:p w14:paraId="7DD0E8A6" w14:textId="0C85FEFF" w:rsidR="007848F0" w:rsidRPr="00A464CF" w:rsidRDefault="007848F0" w:rsidP="00207398">
            <w:pPr>
              <w:jc w:val="both"/>
              <w:rPr>
                <w:rFonts w:eastAsia="Times New Roman"/>
                <w:sz w:val="22"/>
                <w:szCs w:val="22"/>
              </w:rPr>
            </w:pPr>
            <w:r w:rsidRPr="00A464CF">
              <w:rPr>
                <w:rFonts w:eastAsia="Times New Roman"/>
                <w:sz w:val="22"/>
                <w:szCs w:val="22"/>
              </w:rPr>
              <w:t xml:space="preserve"> Ứng dụng công nghệ thông tin trong giảng dạy được đẩy mạnh, 100% cơ sở giáo dục đã kết nối internet tốc độ cao; 100% trường THPT có tối thiểu 1 phòng máy tính phục vụ giảng dạy môn tin học; khoảng 85% cơ sở đào tạo có cung cấp truy cập internet không dây; 70% trường có trung tâm dữ liệu. Kho bài giảng e-learning được xây dựng và cập nhật liên tục, chủ yếu tuyển chọn từ Cuộc thi quốc gia thiết kế bài giảng e-learning hàng năm.</w:t>
            </w:r>
            <w:r w:rsidRPr="00A464CF">
              <w:rPr>
                <w:rFonts w:eastAsia="Times New Roman"/>
                <w:sz w:val="22"/>
                <w:szCs w:val="22"/>
              </w:rPr>
              <w:br w:type="page"/>
              <w:t>Đề án Dạy và học ngoại ngữ trong hệ thống giáo dục quốc dân đang được đẩy mạnh thực hiện. Bộ Lao động, Thương binh và Xã hội đã khảo sát điều kiện dạy và học ngoại ngữ tại một số cơ sở giáo dục nghề nghiệp, làm cơ sở cho việc xây dựng các chương trình tiếng anh chuyên ngành, xây dựng chương trình và giáo trình tiếng anh trình độ trung cấp, cao đẳng, xây dựng phần mềm để đánh giá đầu vào, đầu ra ở các bậc 1,2,3,4. Tuy nhiên, việc quản lý đào tạo tiếng anh tại một số cơ sở dạy nghề còn hạn chế; trình độ tiếng anh của người học nhìn chung chưa cao</w:t>
            </w:r>
          </w:p>
        </w:tc>
        <w:tc>
          <w:tcPr>
            <w:tcW w:w="1306" w:type="dxa"/>
            <w:shd w:val="clear" w:color="auto" w:fill="auto"/>
            <w:vAlign w:val="center"/>
            <w:hideMark/>
          </w:tcPr>
          <w:p w14:paraId="527A279B"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21A1DDFF" w14:textId="77777777" w:rsidTr="00AA2D1A">
        <w:trPr>
          <w:trHeight w:val="2970"/>
        </w:trPr>
        <w:tc>
          <w:tcPr>
            <w:tcW w:w="708" w:type="dxa"/>
            <w:shd w:val="clear" w:color="auto" w:fill="auto"/>
            <w:noWrap/>
            <w:vAlign w:val="center"/>
            <w:hideMark/>
          </w:tcPr>
          <w:p w14:paraId="5F5A3E20" w14:textId="77777777" w:rsidR="007848F0" w:rsidRPr="00A464CF" w:rsidRDefault="007848F0" w:rsidP="007848F0">
            <w:pPr>
              <w:jc w:val="right"/>
              <w:rPr>
                <w:rFonts w:eastAsia="Times New Roman"/>
                <w:sz w:val="22"/>
                <w:szCs w:val="22"/>
              </w:rPr>
            </w:pPr>
            <w:r w:rsidRPr="00A464CF">
              <w:rPr>
                <w:rFonts w:eastAsia="Times New Roman"/>
                <w:sz w:val="22"/>
                <w:szCs w:val="22"/>
              </w:rPr>
              <w:t>5</w:t>
            </w:r>
          </w:p>
        </w:tc>
        <w:tc>
          <w:tcPr>
            <w:tcW w:w="5378" w:type="dxa"/>
            <w:shd w:val="clear" w:color="auto" w:fill="auto"/>
            <w:vAlign w:val="center"/>
            <w:hideMark/>
          </w:tcPr>
          <w:p w14:paraId="240E3D99" w14:textId="77777777" w:rsidR="007848F0" w:rsidRPr="00A464CF" w:rsidRDefault="007848F0" w:rsidP="007848F0">
            <w:pPr>
              <w:jc w:val="both"/>
              <w:rPr>
                <w:rFonts w:eastAsia="Times New Roman"/>
                <w:sz w:val="22"/>
                <w:szCs w:val="22"/>
              </w:rPr>
            </w:pPr>
            <w:r w:rsidRPr="00A464CF">
              <w:rPr>
                <w:rFonts w:eastAsia="Times New Roman"/>
                <w:sz w:val="22"/>
                <w:szCs w:val="22"/>
              </w:rPr>
              <w:t>Đẩy mạnh xã hội hóa giáo dục, đào tạo, nhất là giáo dục mầm non, giáo dục nghề nghiệp và giáo dục đại học. Nâng cao hiệu quả đầu tư cho giáo dục, dành ngân sách thỏa đáng để cải thiện phòng học, thư viện, nhà vệ sinh; cải thiện điều kiện ăn ở, đi lại cho học sinh nội trú ở vùng sâu, vùng xa; bảo đảm công bằng trong giáo dục, đào tạo. Huy động sự tham gia của toàn xã hội để tăng nguồn đầu tư cơ sở vật chất và hỗ trợ các hoạt động của cơ sở giáo dục, đào tạo, đặc biệt khuyến khích các doanh nghiệp tham gia đào tạo nghề. Tiếp tục khuyến khích phát triển các cơ sở giáo dục, đào tạo ngoài công lập</w:t>
            </w:r>
          </w:p>
        </w:tc>
        <w:tc>
          <w:tcPr>
            <w:tcW w:w="7771" w:type="dxa"/>
            <w:shd w:val="clear" w:color="auto" w:fill="auto"/>
            <w:vAlign w:val="center"/>
            <w:hideMark/>
          </w:tcPr>
          <w:p w14:paraId="7D119C99" w14:textId="0B9435F6" w:rsidR="007848F0" w:rsidRPr="00A464CF" w:rsidRDefault="007848F0" w:rsidP="007848F0">
            <w:pPr>
              <w:jc w:val="both"/>
              <w:rPr>
                <w:rFonts w:eastAsia="Times New Roman"/>
                <w:sz w:val="22"/>
                <w:szCs w:val="22"/>
              </w:rPr>
            </w:pPr>
            <w:r w:rsidRPr="00A464CF">
              <w:rPr>
                <w:rFonts w:eastAsia="Times New Roman"/>
                <w:sz w:val="22"/>
                <w:szCs w:val="22"/>
              </w:rPr>
              <w:t>Các địa phương đang đẩy mạnh rà soát, sắp xếp lại mạng lưới cơ sở giáo dục nghề nghiệp theo hướng đẩy mạnh xã hội hóa công tác đào tạo nghề.Ngành giáo dục đã thu hút được nguồn lực đáng kể của xã hội đầu tư cơ sở vật chất, trang thiết bị dạy học theo hướng chuẩn hóa, hiện đại hóa, mở rộng quy mô học sinh, sinh viên. Nguồn lực xã hội hóa đến từ cả các tổ chức, cá nhân trong và tổ chức, cá nhân nước ngoài (thành lập cơ sở đào tạo, giáo dục 100% vốn nước ngoài, liên kết,…).</w:t>
            </w:r>
          </w:p>
          <w:p w14:paraId="515DE69B" w14:textId="017511ED" w:rsidR="007848F0" w:rsidRPr="00A464CF" w:rsidRDefault="007848F0" w:rsidP="007848F0">
            <w:pPr>
              <w:jc w:val="both"/>
              <w:rPr>
                <w:rFonts w:eastAsia="Times New Roman"/>
                <w:sz w:val="22"/>
                <w:szCs w:val="22"/>
              </w:rPr>
            </w:pPr>
            <w:r w:rsidRPr="00A464CF">
              <w:rPr>
                <w:rFonts w:eastAsia="Times New Roman"/>
                <w:sz w:val="22"/>
                <w:szCs w:val="22"/>
              </w:rPr>
              <w:t>Tuy nhiên, nguồn lực thu hút đầu tư cho giáo dục, đào tạo chưa tương xứng với tiềm năng; mức độ huy động nguồn lực giữa các vùng, miền và giữa địa phương khác nhau. Một số địa phương triển khai còn chậm và lúng túng. Việc thu hút người học nghề ở các địa bàn khó khăn còn hạn chế, nhiều trường gần như không tuyển sinh được.</w:t>
            </w:r>
          </w:p>
        </w:tc>
        <w:tc>
          <w:tcPr>
            <w:tcW w:w="1306" w:type="dxa"/>
            <w:shd w:val="clear" w:color="auto" w:fill="auto"/>
            <w:vAlign w:val="center"/>
            <w:hideMark/>
          </w:tcPr>
          <w:p w14:paraId="1A64A1DA" w14:textId="77777777" w:rsidR="007848F0" w:rsidRPr="00A464CF" w:rsidRDefault="007848F0" w:rsidP="007848F0">
            <w:pPr>
              <w:rPr>
                <w:rFonts w:eastAsia="Times New Roman"/>
                <w:sz w:val="22"/>
                <w:szCs w:val="22"/>
              </w:rPr>
            </w:pPr>
            <w:r w:rsidRPr="00A464CF">
              <w:rPr>
                <w:rFonts w:eastAsia="Times New Roman"/>
                <w:sz w:val="22"/>
                <w:szCs w:val="22"/>
              </w:rPr>
              <w:t xml:space="preserve"> Đã triển khai và có kết quả bước đầu</w:t>
            </w:r>
          </w:p>
        </w:tc>
      </w:tr>
      <w:tr w:rsidR="00A464CF" w:rsidRPr="00A464CF" w14:paraId="1CD0BD7E" w14:textId="77777777" w:rsidTr="00AA2D1A">
        <w:trPr>
          <w:trHeight w:val="268"/>
        </w:trPr>
        <w:tc>
          <w:tcPr>
            <w:tcW w:w="708" w:type="dxa"/>
            <w:shd w:val="clear" w:color="auto" w:fill="auto"/>
            <w:noWrap/>
            <w:vAlign w:val="center"/>
            <w:hideMark/>
          </w:tcPr>
          <w:p w14:paraId="59CE4325" w14:textId="77777777" w:rsidR="007848F0" w:rsidRPr="00A464CF" w:rsidRDefault="007848F0" w:rsidP="007848F0">
            <w:pPr>
              <w:jc w:val="center"/>
              <w:rPr>
                <w:rFonts w:eastAsia="Times New Roman"/>
                <w:sz w:val="22"/>
                <w:szCs w:val="22"/>
              </w:rPr>
            </w:pPr>
            <w:r w:rsidRPr="00A464CF">
              <w:rPr>
                <w:rFonts w:eastAsia="Times New Roman"/>
                <w:sz w:val="22"/>
                <w:szCs w:val="22"/>
              </w:rPr>
              <w:t>6</w:t>
            </w:r>
          </w:p>
        </w:tc>
        <w:tc>
          <w:tcPr>
            <w:tcW w:w="5378" w:type="dxa"/>
            <w:shd w:val="clear" w:color="auto" w:fill="auto"/>
            <w:vAlign w:val="center"/>
            <w:hideMark/>
          </w:tcPr>
          <w:p w14:paraId="58F2D588" w14:textId="77777777" w:rsidR="007848F0" w:rsidRPr="00A464CF" w:rsidRDefault="007848F0" w:rsidP="007848F0">
            <w:pPr>
              <w:jc w:val="both"/>
              <w:rPr>
                <w:rFonts w:eastAsia="Times New Roman"/>
                <w:sz w:val="22"/>
                <w:szCs w:val="22"/>
              </w:rPr>
            </w:pPr>
            <w:r w:rsidRPr="00A464CF">
              <w:rPr>
                <w:rFonts w:eastAsia="Times New Roman"/>
                <w:sz w:val="22"/>
                <w:szCs w:val="22"/>
              </w:rPr>
              <w:t>Tăng cường áp dụng các tiêu chuẩn quốc tế trong quá trình xây dựng, đổi mới chương trình và tổ chức đào tạo, nghiên cứu khoa học; khuyến khích các cơ sở giáo dục đại học, giáo dục nghề nghiệp tiếp nhận chuyển giao chương trình tiên tiến của nước ngoài; thực hiện đào tạo theo Khung trình độ quốc gia Việt Nam</w:t>
            </w:r>
          </w:p>
        </w:tc>
        <w:tc>
          <w:tcPr>
            <w:tcW w:w="7771" w:type="dxa"/>
            <w:shd w:val="clear" w:color="auto" w:fill="auto"/>
            <w:vAlign w:val="center"/>
            <w:hideMark/>
          </w:tcPr>
          <w:p w14:paraId="76F69C3E" w14:textId="77777777" w:rsidR="007848F0" w:rsidRPr="00A464CF" w:rsidRDefault="007848F0" w:rsidP="007848F0">
            <w:pPr>
              <w:jc w:val="both"/>
              <w:rPr>
                <w:rFonts w:eastAsia="Times New Roman"/>
                <w:sz w:val="22"/>
                <w:szCs w:val="22"/>
              </w:rPr>
            </w:pPr>
            <w:r w:rsidRPr="00A464CF">
              <w:rPr>
                <w:rFonts w:eastAsia="Times New Roman"/>
                <w:sz w:val="22"/>
                <w:szCs w:val="22"/>
              </w:rPr>
              <w:t>Hoạt động trao đổi giảng viên, chuyên gia, sinh viên được đẩy mạnh; nhiều trường đã phối hợp với doanh nghiệp nước ngoài trong đào tạo nghề cho sinh viên. Nhiều chương trình giáo dục, đào tạo giảng dạy trong các cơ sở giáo dục công lập và ngoài công lập trong nước đã được cơ sở giáo dục, đào tạo, kể cả của các nước phát triển thừa nhận và liên thông. Một số cơ sở giáo dục đã chủ động, tiên phong trong việc thúc đẩy quá trình tiếp nhận chuyển giao công nghệ mới về dạy, học và quản lý giáo dục. Khung trình độ quốc gia từng bước được áp dụng trong đào tạo tin học, ngoại ngữ. Tuy nhiên, việc áp dụng tiêu chuẩn quốc tế, chuyển giao công nghệ không đồng đều, chỉ thực hiện tại một số cơ sở giáo dục lớn trong nước</w:t>
            </w:r>
          </w:p>
        </w:tc>
        <w:tc>
          <w:tcPr>
            <w:tcW w:w="1306" w:type="dxa"/>
            <w:shd w:val="clear" w:color="auto" w:fill="auto"/>
            <w:vAlign w:val="center"/>
            <w:hideMark/>
          </w:tcPr>
          <w:p w14:paraId="6DD4EE8E"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044FCCC2" w14:textId="77777777" w:rsidTr="00AA2D1A">
        <w:trPr>
          <w:trHeight w:val="601"/>
        </w:trPr>
        <w:tc>
          <w:tcPr>
            <w:tcW w:w="708" w:type="dxa"/>
            <w:shd w:val="clear" w:color="auto" w:fill="auto"/>
            <w:noWrap/>
            <w:vAlign w:val="center"/>
            <w:hideMark/>
          </w:tcPr>
          <w:p w14:paraId="0F0240A6" w14:textId="77777777" w:rsidR="007848F0" w:rsidRPr="00A464CF" w:rsidRDefault="007848F0" w:rsidP="007848F0">
            <w:pPr>
              <w:jc w:val="center"/>
              <w:rPr>
                <w:rFonts w:eastAsia="Times New Roman"/>
                <w:sz w:val="22"/>
                <w:szCs w:val="22"/>
              </w:rPr>
            </w:pPr>
            <w:r w:rsidRPr="00A464CF">
              <w:rPr>
                <w:rFonts w:eastAsia="Times New Roman"/>
                <w:sz w:val="22"/>
                <w:szCs w:val="22"/>
              </w:rPr>
              <w:lastRenderedPageBreak/>
              <w:t>7</w:t>
            </w:r>
          </w:p>
        </w:tc>
        <w:tc>
          <w:tcPr>
            <w:tcW w:w="5378" w:type="dxa"/>
            <w:shd w:val="clear" w:color="auto" w:fill="auto"/>
            <w:vAlign w:val="center"/>
            <w:hideMark/>
          </w:tcPr>
          <w:p w14:paraId="6476EAC8" w14:textId="77777777" w:rsidR="007848F0" w:rsidRPr="00A464CF" w:rsidRDefault="007848F0" w:rsidP="007848F0">
            <w:pPr>
              <w:jc w:val="both"/>
              <w:rPr>
                <w:rFonts w:eastAsia="Times New Roman"/>
                <w:sz w:val="22"/>
                <w:szCs w:val="22"/>
              </w:rPr>
            </w:pPr>
            <w:r w:rsidRPr="00A464CF">
              <w:rPr>
                <w:rFonts w:eastAsia="Times New Roman"/>
                <w:sz w:val="22"/>
                <w:szCs w:val="22"/>
              </w:rPr>
              <w:t>Xây dựng các quy định về liên thông giữa các trình độ của giáo dục nghề nghiệp với giáo dục đại học, đảm bảo chất lượng và nâng cao hiệu quả trong đào tạo, tạo cơ hội học tập, phát triển năng lực cho người học</w:t>
            </w:r>
          </w:p>
        </w:tc>
        <w:tc>
          <w:tcPr>
            <w:tcW w:w="7771" w:type="dxa"/>
            <w:shd w:val="clear" w:color="auto" w:fill="auto"/>
            <w:vAlign w:val="center"/>
            <w:hideMark/>
          </w:tcPr>
          <w:p w14:paraId="4119E9A0" w14:textId="77777777" w:rsidR="007848F0" w:rsidRPr="00A464CF" w:rsidRDefault="007848F0" w:rsidP="007848F0">
            <w:pPr>
              <w:jc w:val="both"/>
              <w:rPr>
                <w:rFonts w:eastAsia="Times New Roman"/>
                <w:sz w:val="22"/>
                <w:szCs w:val="22"/>
              </w:rPr>
            </w:pPr>
            <w:r w:rsidRPr="00A464CF">
              <w:rPr>
                <w:rFonts w:eastAsia="Times New Roman"/>
                <w:sz w:val="22"/>
                <w:szCs w:val="22"/>
              </w:rPr>
              <w:t>Thủ tướng Chính phủ đã ban hành Quyết định số 18/2017/QĐ-TTg ngày 31/5/2017 quy định về liên thông giữa trình độ trung cấp, trình độ cao đẳng với trình độ đại học</w:t>
            </w:r>
          </w:p>
        </w:tc>
        <w:tc>
          <w:tcPr>
            <w:tcW w:w="1306" w:type="dxa"/>
            <w:shd w:val="clear" w:color="auto" w:fill="auto"/>
            <w:vAlign w:val="center"/>
            <w:hideMark/>
          </w:tcPr>
          <w:p w14:paraId="1A247957"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rõ ràng</w:t>
            </w:r>
          </w:p>
        </w:tc>
      </w:tr>
      <w:tr w:rsidR="00A464CF" w:rsidRPr="00A464CF" w14:paraId="6F664923" w14:textId="77777777" w:rsidTr="00AA2D1A">
        <w:trPr>
          <w:trHeight w:val="1409"/>
        </w:trPr>
        <w:tc>
          <w:tcPr>
            <w:tcW w:w="708" w:type="dxa"/>
            <w:shd w:val="clear" w:color="auto" w:fill="auto"/>
            <w:noWrap/>
            <w:vAlign w:val="center"/>
            <w:hideMark/>
          </w:tcPr>
          <w:p w14:paraId="046EF344" w14:textId="77777777" w:rsidR="007848F0" w:rsidRPr="00A464CF" w:rsidRDefault="007848F0" w:rsidP="007848F0">
            <w:pPr>
              <w:jc w:val="center"/>
              <w:rPr>
                <w:rFonts w:eastAsia="Times New Roman"/>
                <w:sz w:val="22"/>
                <w:szCs w:val="22"/>
              </w:rPr>
            </w:pPr>
            <w:r w:rsidRPr="00A464CF">
              <w:rPr>
                <w:rFonts w:eastAsia="Times New Roman"/>
                <w:sz w:val="22"/>
                <w:szCs w:val="22"/>
              </w:rPr>
              <w:t>8</w:t>
            </w:r>
          </w:p>
        </w:tc>
        <w:tc>
          <w:tcPr>
            <w:tcW w:w="5378" w:type="dxa"/>
            <w:shd w:val="clear" w:color="auto" w:fill="auto"/>
            <w:vAlign w:val="center"/>
            <w:hideMark/>
          </w:tcPr>
          <w:p w14:paraId="2F772171" w14:textId="4E8CD1EE" w:rsidR="007848F0" w:rsidRPr="00A464CF" w:rsidRDefault="007848F0" w:rsidP="007848F0">
            <w:pPr>
              <w:jc w:val="both"/>
              <w:rPr>
                <w:rFonts w:eastAsia="Times New Roman"/>
                <w:spacing w:val="-6"/>
                <w:sz w:val="22"/>
                <w:szCs w:val="22"/>
              </w:rPr>
            </w:pPr>
            <w:r w:rsidRPr="00A464CF">
              <w:rPr>
                <w:rFonts w:eastAsia="Times New Roman"/>
                <w:spacing w:val="-6"/>
                <w:sz w:val="22"/>
                <w:szCs w:val="22"/>
              </w:rPr>
              <w:t>Xây dựng Quy hoạch phát triển nguồn nhân lực Việt Nam giai đoạn 2016 - 2020, tầm nhìn đến 2025 trên cơ sở rà soát, đánh giá thực hiện Quy hoạch phát triển nhân lực Việt Nam giai đoạn 2011 - 2020 đã được Thủ tướng Chính phủ phê duyệt tại Quyết định số 1216/QĐ-TTg ngày 22 tháng 7 năm 2011 theo hướng thúc đẩy gắn đào tạo với nhu cầu sử dụng lao động của doanh nghiệp, tạo chuyển biến nhanh và rõ nét trong phát triển nguồn nhân lực, nhất là nguồn nhân lực chất lượng cao cho các ngành, lĩnh vực có tiềm năng, lợi thế; nâng cao năng lực, trình độ quản lý nhà nước và quản trị doanh nghiệp</w:t>
            </w:r>
          </w:p>
        </w:tc>
        <w:tc>
          <w:tcPr>
            <w:tcW w:w="7771" w:type="dxa"/>
            <w:shd w:val="clear" w:color="auto" w:fill="auto"/>
            <w:vAlign w:val="center"/>
            <w:hideMark/>
          </w:tcPr>
          <w:p w14:paraId="084AA633" w14:textId="77777777" w:rsidR="007848F0" w:rsidRPr="00A464CF" w:rsidRDefault="007848F0" w:rsidP="007848F0">
            <w:pPr>
              <w:jc w:val="both"/>
              <w:rPr>
                <w:rFonts w:eastAsia="Times New Roman"/>
                <w:sz w:val="22"/>
                <w:szCs w:val="22"/>
              </w:rPr>
            </w:pPr>
            <w:r w:rsidRPr="00A464CF">
              <w:rPr>
                <w:rFonts w:eastAsia="Times New Roman"/>
                <w:sz w:val="22"/>
                <w:szCs w:val="22"/>
              </w:rPr>
              <w:t>Hiện nay, Bộ Kế hoạch và Đầu tư đang nghiên cứu, xây dựng dự thảo quy hoạch</w:t>
            </w:r>
          </w:p>
        </w:tc>
        <w:tc>
          <w:tcPr>
            <w:tcW w:w="1306" w:type="dxa"/>
            <w:shd w:val="clear" w:color="auto" w:fill="auto"/>
            <w:vAlign w:val="center"/>
            <w:hideMark/>
          </w:tcPr>
          <w:p w14:paraId="32D6A435"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0D895AD8" w14:textId="77777777" w:rsidTr="00AA2D1A">
        <w:trPr>
          <w:trHeight w:val="600"/>
        </w:trPr>
        <w:tc>
          <w:tcPr>
            <w:tcW w:w="708" w:type="dxa"/>
            <w:shd w:val="clear" w:color="auto" w:fill="auto"/>
            <w:noWrap/>
            <w:vAlign w:val="center"/>
            <w:hideMark/>
          </w:tcPr>
          <w:p w14:paraId="4210B349" w14:textId="77777777" w:rsidR="007848F0" w:rsidRPr="00A464CF" w:rsidRDefault="007848F0" w:rsidP="007848F0">
            <w:pPr>
              <w:jc w:val="center"/>
              <w:rPr>
                <w:rFonts w:eastAsia="Times New Roman"/>
                <w:sz w:val="22"/>
                <w:szCs w:val="22"/>
              </w:rPr>
            </w:pPr>
            <w:r w:rsidRPr="00A464CF">
              <w:rPr>
                <w:rFonts w:eastAsia="Times New Roman"/>
                <w:sz w:val="22"/>
                <w:szCs w:val="22"/>
              </w:rPr>
              <w:t>9</w:t>
            </w:r>
          </w:p>
        </w:tc>
        <w:tc>
          <w:tcPr>
            <w:tcW w:w="5378" w:type="dxa"/>
            <w:shd w:val="clear" w:color="auto" w:fill="auto"/>
            <w:vAlign w:val="center"/>
            <w:hideMark/>
          </w:tcPr>
          <w:p w14:paraId="15BABCD5" w14:textId="77777777" w:rsidR="007848F0" w:rsidRPr="00A464CF" w:rsidRDefault="007848F0" w:rsidP="007848F0">
            <w:pPr>
              <w:jc w:val="both"/>
              <w:rPr>
                <w:rFonts w:eastAsia="Times New Roman"/>
                <w:sz w:val="22"/>
                <w:szCs w:val="22"/>
              </w:rPr>
            </w:pPr>
            <w:r w:rsidRPr="00A464CF">
              <w:rPr>
                <w:rFonts w:eastAsia="Times New Roman"/>
                <w:sz w:val="22"/>
                <w:szCs w:val="22"/>
              </w:rPr>
              <w:t>Xây dựng Đề án xây dựng đội ngũ Luật sư và các chuyên gia pháp luật quốc tế có đủ trình độ, năng lực và kinh nghiệm phục vụ giải quyết các tranh chấp thương mại quốc tế</w:t>
            </w:r>
          </w:p>
        </w:tc>
        <w:tc>
          <w:tcPr>
            <w:tcW w:w="7771" w:type="dxa"/>
            <w:shd w:val="clear" w:color="auto" w:fill="auto"/>
            <w:vAlign w:val="center"/>
            <w:hideMark/>
          </w:tcPr>
          <w:p w14:paraId="37EAEB88" w14:textId="77777777" w:rsidR="007848F0" w:rsidRPr="00A464CF" w:rsidRDefault="007848F0" w:rsidP="007848F0">
            <w:pPr>
              <w:jc w:val="both"/>
              <w:rPr>
                <w:rFonts w:eastAsia="Times New Roman"/>
                <w:sz w:val="22"/>
                <w:szCs w:val="22"/>
              </w:rPr>
            </w:pPr>
            <w:r w:rsidRPr="00A464CF">
              <w:rPr>
                <w:rFonts w:eastAsia="Times New Roman"/>
                <w:sz w:val="22"/>
                <w:szCs w:val="22"/>
              </w:rPr>
              <w:t>Bộ Tư pháp đã có Công văn số 1031/BTP-VP ngày 29/3/2017 gửi Văn phòng Chính phủ, Bộ Kế hoạch và Đầu tư đề nghị không xây dựng Đề án, mà tiếp tục triển khai 2 Đề án là Đề án “Phát triển đội ngũ luật sư phục vụ hội nhập kinh tế quốc tế từ năm 2010 đến năm 2020” và Đề án “Nâng cao năng lực cho đội ngũ công chức, viên chức các Bộ, ngành, địa phương về pháp luật quốc tế và giải quyết tranh chấp quốc tế giai đoạn 2016-2020” do có nội dung tương tự nhau (nhiệm vụ xin hủy)</w:t>
            </w:r>
          </w:p>
        </w:tc>
        <w:tc>
          <w:tcPr>
            <w:tcW w:w="1306" w:type="dxa"/>
            <w:shd w:val="clear" w:color="auto" w:fill="auto"/>
            <w:vAlign w:val="center"/>
            <w:hideMark/>
          </w:tcPr>
          <w:p w14:paraId="4A5A8411"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rõ ràng</w:t>
            </w:r>
          </w:p>
        </w:tc>
      </w:tr>
      <w:tr w:rsidR="00A464CF" w:rsidRPr="00A464CF" w14:paraId="6DC28FE8" w14:textId="77777777" w:rsidTr="00AA2D1A">
        <w:trPr>
          <w:trHeight w:val="75"/>
        </w:trPr>
        <w:tc>
          <w:tcPr>
            <w:tcW w:w="708" w:type="dxa"/>
            <w:shd w:val="clear" w:color="auto" w:fill="auto"/>
            <w:noWrap/>
            <w:vAlign w:val="center"/>
            <w:hideMark/>
          </w:tcPr>
          <w:p w14:paraId="696EBBB3" w14:textId="77777777" w:rsidR="007848F0" w:rsidRPr="00A464CF" w:rsidRDefault="007848F0" w:rsidP="007848F0">
            <w:pPr>
              <w:jc w:val="center"/>
              <w:rPr>
                <w:rFonts w:eastAsia="Times New Roman"/>
                <w:b/>
                <w:bCs/>
                <w:sz w:val="22"/>
                <w:szCs w:val="22"/>
              </w:rPr>
            </w:pPr>
            <w:r w:rsidRPr="00A464CF">
              <w:rPr>
                <w:rFonts w:eastAsia="Times New Roman"/>
                <w:b/>
                <w:bCs/>
                <w:sz w:val="22"/>
                <w:szCs w:val="22"/>
              </w:rPr>
              <w:t>V</w:t>
            </w:r>
          </w:p>
        </w:tc>
        <w:tc>
          <w:tcPr>
            <w:tcW w:w="14455" w:type="dxa"/>
            <w:gridSpan w:val="3"/>
            <w:shd w:val="clear" w:color="auto" w:fill="auto"/>
            <w:vAlign w:val="center"/>
            <w:hideMark/>
          </w:tcPr>
          <w:p w14:paraId="5823BAD0" w14:textId="77777777" w:rsidR="007848F0" w:rsidRPr="00A464CF" w:rsidRDefault="007848F0" w:rsidP="007848F0">
            <w:pPr>
              <w:rPr>
                <w:rFonts w:eastAsia="Times New Roman"/>
                <w:b/>
                <w:bCs/>
                <w:sz w:val="22"/>
                <w:szCs w:val="22"/>
              </w:rPr>
            </w:pPr>
            <w:r w:rsidRPr="00A464CF">
              <w:rPr>
                <w:rFonts w:eastAsia="Times New Roman"/>
                <w:b/>
                <w:bCs/>
                <w:sz w:val="22"/>
                <w:szCs w:val="22"/>
              </w:rPr>
              <w:t>Phát triển và thúc đẩy chuyển giao khoa học - công nghệ</w:t>
            </w:r>
          </w:p>
        </w:tc>
      </w:tr>
      <w:tr w:rsidR="00A464CF" w:rsidRPr="00A464CF" w14:paraId="2F5A411F" w14:textId="77777777" w:rsidTr="00AA2D1A">
        <w:trPr>
          <w:trHeight w:val="1185"/>
        </w:trPr>
        <w:tc>
          <w:tcPr>
            <w:tcW w:w="708" w:type="dxa"/>
            <w:shd w:val="clear" w:color="auto" w:fill="auto"/>
            <w:noWrap/>
            <w:vAlign w:val="center"/>
            <w:hideMark/>
          </w:tcPr>
          <w:p w14:paraId="5C17A905" w14:textId="77777777" w:rsidR="007848F0" w:rsidRPr="00A464CF" w:rsidRDefault="007848F0" w:rsidP="007848F0">
            <w:pPr>
              <w:jc w:val="center"/>
              <w:rPr>
                <w:rFonts w:eastAsia="Times New Roman"/>
                <w:sz w:val="22"/>
                <w:szCs w:val="22"/>
              </w:rPr>
            </w:pPr>
            <w:r w:rsidRPr="00A464CF">
              <w:rPr>
                <w:rFonts w:eastAsia="Times New Roman"/>
                <w:sz w:val="22"/>
                <w:szCs w:val="22"/>
              </w:rPr>
              <w:t>1</w:t>
            </w:r>
          </w:p>
        </w:tc>
        <w:tc>
          <w:tcPr>
            <w:tcW w:w="5378" w:type="dxa"/>
            <w:shd w:val="clear" w:color="auto" w:fill="auto"/>
            <w:vAlign w:val="center"/>
            <w:hideMark/>
          </w:tcPr>
          <w:p w14:paraId="12BC1AD5" w14:textId="77777777" w:rsidR="007848F0" w:rsidRPr="00A464CF" w:rsidRDefault="007848F0" w:rsidP="007848F0">
            <w:pPr>
              <w:jc w:val="both"/>
              <w:rPr>
                <w:rFonts w:eastAsia="Times New Roman"/>
                <w:sz w:val="22"/>
                <w:szCs w:val="22"/>
              </w:rPr>
            </w:pPr>
            <w:r w:rsidRPr="00A464CF">
              <w:rPr>
                <w:rFonts w:eastAsia="Times New Roman"/>
                <w:sz w:val="22"/>
                <w:szCs w:val="22"/>
              </w:rPr>
              <w:t>Tập trung nâng cao năng lực hấp thụ công nghệ của doanh nghiệp tiến tới dịch chuyển trọng tâm và chủ thể của hoạt động nghiên cứu ứng dụng sang khu vực doanh nghiệp</w:t>
            </w:r>
          </w:p>
        </w:tc>
        <w:tc>
          <w:tcPr>
            <w:tcW w:w="7771" w:type="dxa"/>
            <w:shd w:val="clear" w:color="auto" w:fill="auto"/>
            <w:vAlign w:val="center"/>
            <w:hideMark/>
          </w:tcPr>
          <w:p w14:paraId="555E1413" w14:textId="77777777" w:rsidR="007848F0" w:rsidRPr="00A464CF" w:rsidRDefault="007848F0" w:rsidP="007848F0">
            <w:pPr>
              <w:jc w:val="both"/>
              <w:rPr>
                <w:rFonts w:eastAsia="Times New Roman"/>
                <w:sz w:val="22"/>
                <w:szCs w:val="22"/>
              </w:rPr>
            </w:pPr>
            <w:r w:rsidRPr="00A464CF">
              <w:rPr>
                <w:rFonts w:eastAsia="Times New Roman"/>
                <w:sz w:val="22"/>
                <w:szCs w:val="22"/>
              </w:rPr>
              <w:t>Một số hoạt động đã được tổ chức như: Hoạt động trình diễn kết nối cung- cầu công nghệ với chuỗi các sự kiện trình diễn, giới thiệu công nghệ; tọa đàm thúc đẩy ứng dụng, chuyển giao công nghệ khu vực; diễn đàn đối thoại doanh nghiệp với ứng dụng và đổi mới công nghệ. Hoạt động xúc tiến phát triển thị trường công nghệ được triển khai thông qua các sàn giao dịch công nghệ, chợ công nghệ và thiết bị (techmart), techmart trực tuyến giới thiệu công nghệ và cung cấp thông tin công nghệ.</w:t>
            </w:r>
          </w:p>
        </w:tc>
        <w:tc>
          <w:tcPr>
            <w:tcW w:w="1306" w:type="dxa"/>
            <w:shd w:val="clear" w:color="auto" w:fill="auto"/>
            <w:vAlign w:val="center"/>
            <w:hideMark/>
          </w:tcPr>
          <w:p w14:paraId="15350DAC"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7DFD3010" w14:textId="77777777" w:rsidTr="00AA2D1A">
        <w:trPr>
          <w:trHeight w:val="801"/>
        </w:trPr>
        <w:tc>
          <w:tcPr>
            <w:tcW w:w="708" w:type="dxa"/>
            <w:shd w:val="clear" w:color="auto" w:fill="auto"/>
            <w:noWrap/>
            <w:vAlign w:val="center"/>
            <w:hideMark/>
          </w:tcPr>
          <w:p w14:paraId="34812099" w14:textId="77777777" w:rsidR="007848F0" w:rsidRPr="00A464CF" w:rsidRDefault="007848F0" w:rsidP="007848F0">
            <w:pPr>
              <w:jc w:val="center"/>
              <w:rPr>
                <w:rFonts w:eastAsia="Times New Roman"/>
                <w:sz w:val="22"/>
                <w:szCs w:val="22"/>
              </w:rPr>
            </w:pPr>
            <w:r w:rsidRPr="00A464CF">
              <w:rPr>
                <w:rFonts w:eastAsia="Times New Roman"/>
                <w:sz w:val="22"/>
                <w:szCs w:val="22"/>
              </w:rPr>
              <w:t>2</w:t>
            </w:r>
          </w:p>
        </w:tc>
        <w:tc>
          <w:tcPr>
            <w:tcW w:w="5378" w:type="dxa"/>
            <w:shd w:val="clear" w:color="auto" w:fill="auto"/>
            <w:vAlign w:val="center"/>
            <w:hideMark/>
          </w:tcPr>
          <w:p w14:paraId="58CC5B5B" w14:textId="77777777" w:rsidR="007848F0" w:rsidRPr="00A464CF" w:rsidRDefault="007848F0" w:rsidP="007848F0">
            <w:pPr>
              <w:jc w:val="both"/>
              <w:rPr>
                <w:rFonts w:eastAsia="Times New Roman"/>
                <w:sz w:val="22"/>
                <w:szCs w:val="22"/>
              </w:rPr>
            </w:pPr>
            <w:r w:rsidRPr="00A464CF">
              <w:rPr>
                <w:rFonts w:eastAsia="Times New Roman"/>
                <w:sz w:val="22"/>
                <w:szCs w:val="22"/>
              </w:rPr>
              <w:t>Xây dựng chính sách nhập khẩu công nghệ cho giai đoạn đến 2025. Tập trung đầu tư cho nghiên cứu ứng dụng để nhanh chóng nâng cao năng lực công nghệ trong nước, trình độ thiết kế, chế tạo, ứng dụng kỹ thuật và công nghệ trong các ngành, lĩnh vực ưu tiên.</w:t>
            </w:r>
          </w:p>
        </w:tc>
        <w:tc>
          <w:tcPr>
            <w:tcW w:w="7771" w:type="dxa"/>
            <w:shd w:val="clear" w:color="auto" w:fill="auto"/>
            <w:vAlign w:val="center"/>
            <w:hideMark/>
          </w:tcPr>
          <w:p w14:paraId="32D9A0BB" w14:textId="77777777" w:rsidR="007848F0" w:rsidRPr="00A464CF" w:rsidRDefault="007848F0" w:rsidP="007848F0">
            <w:pPr>
              <w:jc w:val="both"/>
              <w:rPr>
                <w:rFonts w:eastAsia="Times New Roman"/>
                <w:sz w:val="22"/>
                <w:szCs w:val="22"/>
              </w:rPr>
            </w:pPr>
            <w:r w:rsidRPr="00A464CF">
              <w:rPr>
                <w:rFonts w:eastAsia="Times New Roman"/>
                <w:sz w:val="22"/>
                <w:szCs w:val="22"/>
              </w:rPr>
              <w:t xml:space="preserve">Thủ tướng Chính phủ đã ban hành Đề án </w:t>
            </w:r>
            <w:r w:rsidRPr="00A464CF">
              <w:rPr>
                <w:rStyle w:val="Strong"/>
                <w:b w:val="0"/>
                <w:sz w:val="22"/>
                <w:szCs w:val="22"/>
              </w:rPr>
              <w:t>“Thúc đẩy chuyển giao, làm chủ và phát triển công nghệ từ nước ngoài vào việt nam trong các ngành, lĩnh vực ưu tiên giai đoạn đến năm 2025, định hướng đến năm 2030”</w:t>
            </w:r>
          </w:p>
        </w:tc>
        <w:tc>
          <w:tcPr>
            <w:tcW w:w="1306" w:type="dxa"/>
            <w:shd w:val="clear" w:color="auto" w:fill="auto"/>
            <w:vAlign w:val="center"/>
            <w:hideMark/>
          </w:tcPr>
          <w:p w14:paraId="61F7E446"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rõ ràng</w:t>
            </w:r>
          </w:p>
        </w:tc>
      </w:tr>
      <w:tr w:rsidR="00A464CF" w:rsidRPr="00A464CF" w14:paraId="68D97431" w14:textId="77777777" w:rsidTr="00AA2D1A">
        <w:trPr>
          <w:trHeight w:val="977"/>
        </w:trPr>
        <w:tc>
          <w:tcPr>
            <w:tcW w:w="708" w:type="dxa"/>
            <w:shd w:val="clear" w:color="auto" w:fill="auto"/>
            <w:noWrap/>
            <w:vAlign w:val="center"/>
            <w:hideMark/>
          </w:tcPr>
          <w:p w14:paraId="7529BF75" w14:textId="77777777" w:rsidR="007848F0" w:rsidRPr="00A464CF" w:rsidRDefault="007848F0" w:rsidP="007848F0">
            <w:pPr>
              <w:jc w:val="center"/>
              <w:rPr>
                <w:rFonts w:eastAsia="Times New Roman"/>
                <w:sz w:val="22"/>
                <w:szCs w:val="22"/>
              </w:rPr>
            </w:pPr>
            <w:r w:rsidRPr="00A464CF">
              <w:rPr>
                <w:rFonts w:eastAsia="Times New Roman"/>
                <w:sz w:val="22"/>
                <w:szCs w:val="22"/>
              </w:rPr>
              <w:t>3</w:t>
            </w:r>
          </w:p>
        </w:tc>
        <w:tc>
          <w:tcPr>
            <w:tcW w:w="5378" w:type="dxa"/>
            <w:shd w:val="clear" w:color="auto" w:fill="auto"/>
            <w:vAlign w:val="center"/>
            <w:hideMark/>
          </w:tcPr>
          <w:p w14:paraId="5DA2F033" w14:textId="77777777" w:rsidR="007848F0" w:rsidRPr="00A464CF" w:rsidRDefault="007848F0" w:rsidP="007848F0">
            <w:pPr>
              <w:jc w:val="both"/>
              <w:rPr>
                <w:rFonts w:eastAsia="Times New Roman"/>
                <w:sz w:val="22"/>
                <w:szCs w:val="22"/>
              </w:rPr>
            </w:pPr>
            <w:r w:rsidRPr="00A464CF">
              <w:rPr>
                <w:rFonts w:eastAsia="Times New Roman"/>
                <w:sz w:val="22"/>
                <w:szCs w:val="22"/>
              </w:rPr>
              <w:t>Xây dựng, thực hiện các chương trình xúc tiến, chuyển giao công nghệ từ các nước có công nghệ nguồn, công nghệ tiên tiến trong lĩnh vực Việt Nam có nhu cầu đẩy mạnh công nghiệp hóa, hiện đại hóa</w:t>
            </w:r>
          </w:p>
        </w:tc>
        <w:tc>
          <w:tcPr>
            <w:tcW w:w="7771" w:type="dxa"/>
            <w:shd w:val="clear" w:color="auto" w:fill="auto"/>
            <w:vAlign w:val="center"/>
            <w:hideMark/>
          </w:tcPr>
          <w:p w14:paraId="4EE5C8BE" w14:textId="77777777" w:rsidR="007848F0" w:rsidRPr="00A464CF" w:rsidRDefault="007848F0" w:rsidP="007848F0">
            <w:pPr>
              <w:jc w:val="both"/>
              <w:rPr>
                <w:rFonts w:eastAsia="Times New Roman"/>
                <w:sz w:val="22"/>
                <w:szCs w:val="22"/>
              </w:rPr>
            </w:pPr>
            <w:r w:rsidRPr="00A464CF">
              <w:rPr>
                <w:rFonts w:eastAsia="Times New Roman"/>
                <w:sz w:val="22"/>
                <w:szCs w:val="22"/>
              </w:rPr>
              <w:t>Bộ Khoa học và Công nghệ đang giao các đơn vị chức năng tiến hành nghiên cứu, học tập kinh nghiệm các quốc gia để thực hiện các chương trình xúc tiến, chuyển giao công nghệ từ các nước có công nghệ nguồn, công nghệ tiên tiến trong lĩnh vực Việt Nam có nhu cầu đẩy mạnh công nghiệp hóa, hiện đại hóa.</w:t>
            </w:r>
          </w:p>
        </w:tc>
        <w:tc>
          <w:tcPr>
            <w:tcW w:w="1306" w:type="dxa"/>
            <w:shd w:val="clear" w:color="auto" w:fill="auto"/>
            <w:vAlign w:val="center"/>
            <w:hideMark/>
          </w:tcPr>
          <w:p w14:paraId="6052F04C"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146AABF2" w14:textId="77777777" w:rsidTr="00AA2D1A">
        <w:trPr>
          <w:trHeight w:val="312"/>
        </w:trPr>
        <w:tc>
          <w:tcPr>
            <w:tcW w:w="708" w:type="dxa"/>
            <w:shd w:val="clear" w:color="auto" w:fill="auto"/>
            <w:noWrap/>
            <w:vAlign w:val="center"/>
            <w:hideMark/>
          </w:tcPr>
          <w:p w14:paraId="794B5ACF" w14:textId="77777777" w:rsidR="007848F0" w:rsidRPr="00A464CF" w:rsidRDefault="007848F0" w:rsidP="007848F0">
            <w:pPr>
              <w:jc w:val="center"/>
              <w:rPr>
                <w:rFonts w:eastAsia="Times New Roman"/>
                <w:sz w:val="22"/>
                <w:szCs w:val="22"/>
              </w:rPr>
            </w:pPr>
            <w:r w:rsidRPr="00A464CF">
              <w:rPr>
                <w:rFonts w:eastAsia="Times New Roman"/>
                <w:sz w:val="22"/>
                <w:szCs w:val="22"/>
              </w:rPr>
              <w:lastRenderedPageBreak/>
              <w:t>4</w:t>
            </w:r>
          </w:p>
        </w:tc>
        <w:tc>
          <w:tcPr>
            <w:tcW w:w="5378" w:type="dxa"/>
            <w:shd w:val="clear" w:color="auto" w:fill="auto"/>
            <w:vAlign w:val="center"/>
            <w:hideMark/>
          </w:tcPr>
          <w:p w14:paraId="5AE79D53" w14:textId="77777777" w:rsidR="007848F0" w:rsidRPr="00A464CF" w:rsidRDefault="007848F0" w:rsidP="007848F0">
            <w:pPr>
              <w:jc w:val="both"/>
              <w:rPr>
                <w:rFonts w:eastAsia="Times New Roman"/>
                <w:spacing w:val="-4"/>
                <w:sz w:val="22"/>
                <w:szCs w:val="22"/>
              </w:rPr>
            </w:pPr>
            <w:r w:rsidRPr="00A464CF">
              <w:rPr>
                <w:rFonts w:eastAsia="Times New Roman"/>
                <w:spacing w:val="-4"/>
                <w:sz w:val="22"/>
                <w:szCs w:val="22"/>
              </w:rPr>
              <w:t>Đề xuất các giải pháp hiệu quả thúc đẩy các doanh nghiệp có vốn đầu tư nước ngoài chuyển giao công nghệ cho các doanh nghiệp Việt Nam, đặt cơ sở nghiên cứu phát triển (R&amp;D) tại Việt Nam và sử dụng kỹ sư, nhà khoa học Việt Nam</w:t>
            </w:r>
          </w:p>
        </w:tc>
        <w:tc>
          <w:tcPr>
            <w:tcW w:w="7771" w:type="dxa"/>
            <w:shd w:val="clear" w:color="auto" w:fill="auto"/>
            <w:vAlign w:val="center"/>
            <w:hideMark/>
          </w:tcPr>
          <w:p w14:paraId="43E1E8BF" w14:textId="77777777" w:rsidR="00791CE6" w:rsidRPr="00A464CF" w:rsidRDefault="00791CE6" w:rsidP="00791CE6">
            <w:pPr>
              <w:jc w:val="both"/>
              <w:rPr>
                <w:rFonts w:eastAsia="Times New Roman"/>
                <w:sz w:val="22"/>
                <w:szCs w:val="22"/>
              </w:rPr>
            </w:pPr>
            <w:r w:rsidRPr="00A464CF">
              <w:rPr>
                <w:rFonts w:eastAsia="Times New Roman"/>
                <w:sz w:val="22"/>
                <w:szCs w:val="22"/>
              </w:rPr>
              <w:t>Quốc hội đã ban hành Luật Chuyển giao công nghệ năm 2017. Chính phủ đã ban hành Nghị định số 76/2018/NĐ-CP Quy định chi tiết và hướng dẫn thi hành một số điều của Luật Chuyển giao công nghệ</w:t>
            </w:r>
          </w:p>
          <w:p w14:paraId="028B692D" w14:textId="64CB001D" w:rsidR="007848F0" w:rsidRPr="00A464CF" w:rsidRDefault="007848F0" w:rsidP="007848F0">
            <w:pPr>
              <w:jc w:val="both"/>
              <w:rPr>
                <w:rFonts w:eastAsia="Times New Roman"/>
                <w:sz w:val="22"/>
                <w:szCs w:val="22"/>
              </w:rPr>
            </w:pPr>
          </w:p>
        </w:tc>
        <w:tc>
          <w:tcPr>
            <w:tcW w:w="1306" w:type="dxa"/>
            <w:shd w:val="clear" w:color="auto" w:fill="auto"/>
            <w:vAlign w:val="center"/>
            <w:hideMark/>
          </w:tcPr>
          <w:p w14:paraId="394E85AA"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rõ ràng</w:t>
            </w:r>
          </w:p>
        </w:tc>
      </w:tr>
      <w:tr w:rsidR="00A464CF" w:rsidRPr="00A464CF" w14:paraId="77FC95C2" w14:textId="77777777" w:rsidTr="00AA2D1A">
        <w:trPr>
          <w:trHeight w:val="1750"/>
        </w:trPr>
        <w:tc>
          <w:tcPr>
            <w:tcW w:w="708" w:type="dxa"/>
            <w:shd w:val="clear" w:color="auto" w:fill="auto"/>
            <w:noWrap/>
            <w:vAlign w:val="center"/>
            <w:hideMark/>
          </w:tcPr>
          <w:p w14:paraId="5B531D95" w14:textId="77777777" w:rsidR="007848F0" w:rsidRPr="00A464CF" w:rsidRDefault="007848F0" w:rsidP="007848F0">
            <w:pPr>
              <w:jc w:val="center"/>
              <w:rPr>
                <w:rFonts w:eastAsia="Times New Roman"/>
                <w:sz w:val="22"/>
                <w:szCs w:val="22"/>
              </w:rPr>
            </w:pPr>
            <w:r w:rsidRPr="00A464CF">
              <w:rPr>
                <w:rFonts w:eastAsia="Times New Roman"/>
                <w:sz w:val="22"/>
                <w:szCs w:val="22"/>
              </w:rPr>
              <w:t>5</w:t>
            </w:r>
          </w:p>
        </w:tc>
        <w:tc>
          <w:tcPr>
            <w:tcW w:w="5378" w:type="dxa"/>
            <w:shd w:val="clear" w:color="auto" w:fill="auto"/>
            <w:vAlign w:val="center"/>
            <w:hideMark/>
          </w:tcPr>
          <w:p w14:paraId="1EA2BF96" w14:textId="5F22B0D1" w:rsidR="007848F0" w:rsidRPr="00A464CF" w:rsidRDefault="007848F0" w:rsidP="007848F0">
            <w:pPr>
              <w:jc w:val="both"/>
              <w:rPr>
                <w:rFonts w:eastAsia="Times New Roman"/>
                <w:sz w:val="22"/>
                <w:szCs w:val="22"/>
              </w:rPr>
            </w:pPr>
            <w:r w:rsidRPr="00A464CF">
              <w:rPr>
                <w:rFonts w:eastAsia="Times New Roman"/>
                <w:sz w:val="22"/>
                <w:szCs w:val="22"/>
              </w:rPr>
              <w:t>Tăng cường cơ chế đối ứng hợp tác công tư để khuyến khích doanh nghiệp triển khai các dự án đổi mới công nghệ, đổi mới sáng tạo, nghiên cứu và phát triển. Tăng quy mô tài chính cho các quỹ hỗ trợ doanh nghiệp, đặc biệt là doanh nghiệp nhỏ và vừa đầu tư đổi mới công nghệ; mở rộng hình thức tài trợ, cho vay, bảo lãnh vốn vay từ các quỹ nhà nước cho dự án đổi mới công nghệ của doanh nghiệp; hình thành thiết chế bảo lãnh vốn vay đối với các dự án nghiên cứu, đổi mới công nghệ để doanh nghiệp có thể vay vốn từ các ngân hàng thương mại</w:t>
            </w:r>
          </w:p>
        </w:tc>
        <w:tc>
          <w:tcPr>
            <w:tcW w:w="7771" w:type="dxa"/>
            <w:shd w:val="clear" w:color="auto" w:fill="auto"/>
            <w:vAlign w:val="center"/>
            <w:hideMark/>
          </w:tcPr>
          <w:p w14:paraId="649CAAE4" w14:textId="607DBBB7" w:rsidR="007848F0" w:rsidRPr="00A464CF" w:rsidRDefault="007848F0" w:rsidP="007848F0">
            <w:pPr>
              <w:jc w:val="both"/>
              <w:rPr>
                <w:rFonts w:eastAsia="Times New Roman"/>
                <w:sz w:val="22"/>
                <w:szCs w:val="22"/>
              </w:rPr>
            </w:pPr>
            <w:r w:rsidRPr="00A464CF">
              <w:rPr>
                <w:rFonts w:eastAsia="Times New Roman"/>
                <w:sz w:val="22"/>
                <w:szCs w:val="22"/>
              </w:rPr>
              <w:t>Bộ đã ban hành Thông tư số 11/2017/TT-BKHCN ngày 11/8/2017 quy định quản lý thực hiện Đề án “Thí điểm cơ chế hợp tác công- tư, đồng tài trợ thực hiện nhiệm vụ KHCN”; đang phối hợp với Bộ Tài chính để nghiên cứu xây dựng quy định về hỗ trợ vốn, cho vay ưu đãi, hỗ trợ lãi suất và bảo lãnh vốn vay đối với các dự án đầu tư đổi mới công nghệ của doanh nghiệp từ các quỹ nhà nước, đồng thời phối hợp với NHNN để đề xuất thí điểm cơ chế hỗ trợ lãi suất cho vay đối với các dự án đổi mới công nghệ của doanh nghiệp. Quỹ đổi mới công nghệ quốc gia và Quỹ phát triển khoa học và công nghệ quốc gia tiếp tục thực hiện cơ chế tài trợ, cho vay, bảo lãnh vốn vay.</w:t>
            </w:r>
          </w:p>
        </w:tc>
        <w:tc>
          <w:tcPr>
            <w:tcW w:w="1306" w:type="dxa"/>
            <w:shd w:val="clear" w:color="auto" w:fill="auto"/>
            <w:vAlign w:val="center"/>
            <w:hideMark/>
          </w:tcPr>
          <w:p w14:paraId="6954DF04"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194CF18D" w14:textId="77777777" w:rsidTr="00AA2D1A">
        <w:trPr>
          <w:trHeight w:val="60"/>
        </w:trPr>
        <w:tc>
          <w:tcPr>
            <w:tcW w:w="708" w:type="dxa"/>
            <w:shd w:val="clear" w:color="auto" w:fill="auto"/>
            <w:noWrap/>
            <w:vAlign w:val="center"/>
            <w:hideMark/>
          </w:tcPr>
          <w:p w14:paraId="300A369A" w14:textId="77777777" w:rsidR="007848F0" w:rsidRPr="00A464CF" w:rsidRDefault="007848F0" w:rsidP="007848F0">
            <w:pPr>
              <w:jc w:val="center"/>
              <w:rPr>
                <w:rFonts w:eastAsia="Times New Roman"/>
                <w:sz w:val="22"/>
                <w:szCs w:val="22"/>
              </w:rPr>
            </w:pPr>
            <w:r w:rsidRPr="00A464CF">
              <w:rPr>
                <w:rFonts w:eastAsia="Times New Roman"/>
                <w:sz w:val="22"/>
                <w:szCs w:val="22"/>
              </w:rPr>
              <w:t>6</w:t>
            </w:r>
          </w:p>
        </w:tc>
        <w:tc>
          <w:tcPr>
            <w:tcW w:w="5378" w:type="dxa"/>
            <w:shd w:val="clear" w:color="auto" w:fill="auto"/>
            <w:vAlign w:val="center"/>
            <w:hideMark/>
          </w:tcPr>
          <w:p w14:paraId="12DD86FE" w14:textId="77777777" w:rsidR="007848F0" w:rsidRPr="00A464CF" w:rsidRDefault="007848F0" w:rsidP="007848F0">
            <w:pPr>
              <w:jc w:val="both"/>
              <w:rPr>
                <w:rFonts w:eastAsia="Times New Roman"/>
                <w:sz w:val="22"/>
                <w:szCs w:val="22"/>
              </w:rPr>
            </w:pPr>
            <w:r w:rsidRPr="00A464CF">
              <w:rPr>
                <w:rFonts w:eastAsia="Times New Roman"/>
                <w:sz w:val="22"/>
                <w:szCs w:val="22"/>
              </w:rPr>
              <w:t>Chú trọng nâng cao trình độ cán bộ kỹ thuật, quản trị công nghệ và quản lý, quản trị doanh nghiệp; xây dựng chính sách khuyến khích chuyển dịch lao động trình độ cao từ các viện nghiên cứu, trường đại học sang khu vực doanh nghiệp</w:t>
            </w:r>
          </w:p>
        </w:tc>
        <w:tc>
          <w:tcPr>
            <w:tcW w:w="7771" w:type="dxa"/>
            <w:shd w:val="clear" w:color="auto" w:fill="auto"/>
            <w:vAlign w:val="center"/>
            <w:hideMark/>
          </w:tcPr>
          <w:p w14:paraId="579077F8" w14:textId="77777777" w:rsidR="007848F0" w:rsidRPr="00A464CF" w:rsidRDefault="007848F0" w:rsidP="007848F0">
            <w:pPr>
              <w:jc w:val="both"/>
              <w:rPr>
                <w:rFonts w:eastAsia="Times New Roman"/>
                <w:sz w:val="22"/>
                <w:szCs w:val="22"/>
              </w:rPr>
            </w:pPr>
            <w:r w:rsidRPr="00A464CF">
              <w:rPr>
                <w:rFonts w:eastAsia="Times New Roman"/>
                <w:sz w:val="22"/>
                <w:szCs w:val="22"/>
              </w:rPr>
              <w:t>Đội ngũ cán bộ kỹ thuật, quản trị công nghệ và quản lý, quản trị doanh nghiệp còn hạn chế. Nếu quy đổi toàn thời gian (FTE), số lượng cán bộ nghiên cứu và phát triển công nghệ (R&amp;D) của Việt Nam chỉ đạt 7 người/vạn dân. Chính sách trọng dụng, sử dụng cán bộ khoa học và công nghệ đã được triển khai, bước đầu thu hút nhà khoa học trẻ, nhà hoa học là người Việt Nam ở nước ngoài.</w:t>
            </w:r>
          </w:p>
        </w:tc>
        <w:tc>
          <w:tcPr>
            <w:tcW w:w="1306" w:type="dxa"/>
            <w:shd w:val="clear" w:color="auto" w:fill="auto"/>
            <w:vAlign w:val="center"/>
            <w:hideMark/>
          </w:tcPr>
          <w:p w14:paraId="5C5739B0"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11FBB2A6" w14:textId="77777777" w:rsidTr="00AA2D1A">
        <w:trPr>
          <w:trHeight w:val="410"/>
        </w:trPr>
        <w:tc>
          <w:tcPr>
            <w:tcW w:w="708" w:type="dxa"/>
            <w:shd w:val="clear" w:color="auto" w:fill="auto"/>
            <w:noWrap/>
            <w:vAlign w:val="center"/>
            <w:hideMark/>
          </w:tcPr>
          <w:p w14:paraId="37DB752E" w14:textId="77777777" w:rsidR="007848F0" w:rsidRPr="00A464CF" w:rsidRDefault="007848F0" w:rsidP="007848F0">
            <w:pPr>
              <w:jc w:val="center"/>
              <w:rPr>
                <w:rFonts w:eastAsia="Times New Roman"/>
                <w:sz w:val="22"/>
                <w:szCs w:val="22"/>
              </w:rPr>
            </w:pPr>
            <w:r w:rsidRPr="00A464CF">
              <w:rPr>
                <w:rFonts w:eastAsia="Times New Roman"/>
                <w:sz w:val="22"/>
                <w:szCs w:val="22"/>
              </w:rPr>
              <w:t>7</w:t>
            </w:r>
          </w:p>
        </w:tc>
        <w:tc>
          <w:tcPr>
            <w:tcW w:w="5378" w:type="dxa"/>
            <w:shd w:val="clear" w:color="auto" w:fill="auto"/>
            <w:vAlign w:val="center"/>
            <w:hideMark/>
          </w:tcPr>
          <w:p w14:paraId="792B4012" w14:textId="77777777" w:rsidR="007848F0" w:rsidRPr="00A464CF" w:rsidRDefault="007848F0" w:rsidP="007848F0">
            <w:pPr>
              <w:jc w:val="both"/>
              <w:rPr>
                <w:rFonts w:eastAsia="Times New Roman"/>
                <w:sz w:val="22"/>
                <w:szCs w:val="22"/>
              </w:rPr>
            </w:pPr>
            <w:r w:rsidRPr="00A464CF">
              <w:rPr>
                <w:rFonts w:eastAsia="Times New Roman"/>
                <w:sz w:val="22"/>
                <w:szCs w:val="22"/>
              </w:rPr>
              <w:t>Đầu tư hình thành và vận hành các cơ sở dữ liệu quốc gia về thông tin công nghệ, chuyên gia công nghệ, trung gian công nghệ để hỗ trợ doanh nghiệp lựa chọn công nghệ cần đổi mới, chuyển giao. Nâng cao hiệu lực, hiệu quả thực thi quyền sở hữu trí tuệ, đánh giá, định giá tài sản trí tuệ và góp vốn doanh nghiệp bằng tài sản trí tuệ</w:t>
            </w:r>
          </w:p>
        </w:tc>
        <w:tc>
          <w:tcPr>
            <w:tcW w:w="7771" w:type="dxa"/>
            <w:shd w:val="clear" w:color="auto" w:fill="auto"/>
            <w:vAlign w:val="center"/>
            <w:hideMark/>
          </w:tcPr>
          <w:p w14:paraId="0B45F4FE" w14:textId="77777777" w:rsidR="007848F0" w:rsidRPr="00A464CF" w:rsidRDefault="007848F0" w:rsidP="007848F0">
            <w:pPr>
              <w:jc w:val="both"/>
              <w:rPr>
                <w:rFonts w:eastAsia="Times New Roman"/>
                <w:sz w:val="22"/>
                <w:szCs w:val="22"/>
              </w:rPr>
            </w:pPr>
            <w:r w:rsidRPr="00A464CF">
              <w:rPr>
                <w:rFonts w:eastAsia="Times New Roman"/>
                <w:sz w:val="22"/>
                <w:szCs w:val="22"/>
              </w:rPr>
              <w:t>Bộ Khoa học và Công nghệ đã bố trí nguồn lực để triển khai xây dựng hệ thống cơ sở dữ liệu quốc gia về khoa học và công nghệ gồm: Cơ sở dữ liệu tài liệu khoa học và công nghệ Việt Nam, cơ sở dữ liệu về nhiệm vụ khoa học và công nghệ, cơ sở dữ liệu về thông tin khoa học và công nghệ trong khu vực và trên thế giới; cơ sở dữ liệu về công nghệ, thiết bị và thị trường khoa học và công nghệ. Bộ đang triển khai Dự án “Xây dựng hệ thống thông tin tích hợp phục vụ công tác thẩm định đơn sở hữu trí tuệ”; thực hiện tư vấn, hỗ trợ, hướng dẫn, giải đáp những vướng mắc của doanh nghiệp về xác lập quyền sở hữu trí tuệ, bảo hộ và quản lý, phát triển tài sản trí tuệ. Năm 2017, Chương trình Phát triển tài sản trí tuệ giai đoạn 2016-2020 đã tiếp nhận 279 đề xuất hỗ trợ phát triển tài sản trí tuệ. Năm 2016 và 9 tháng đầu năm 2017, Cục Sở hữu trí tuệ đã cung cấp 265 ý kiến chuyên môn cho các cơ quan thực thi quyền sở hữu trí tuệ. Tuy nhiên, việc bảo vệ quyền sở hữu trí tuệ còn nhiều hạn chế, tình trạng vi phạm sở hữu trí tuệ chưa được khắc phục.</w:t>
            </w:r>
          </w:p>
        </w:tc>
        <w:tc>
          <w:tcPr>
            <w:tcW w:w="1306" w:type="dxa"/>
            <w:shd w:val="clear" w:color="auto" w:fill="auto"/>
            <w:vAlign w:val="center"/>
            <w:hideMark/>
          </w:tcPr>
          <w:p w14:paraId="15D470E5"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46BBDE8C" w14:textId="77777777" w:rsidTr="00AA2D1A">
        <w:trPr>
          <w:trHeight w:val="60"/>
        </w:trPr>
        <w:tc>
          <w:tcPr>
            <w:tcW w:w="708" w:type="dxa"/>
            <w:shd w:val="clear" w:color="auto" w:fill="auto"/>
            <w:noWrap/>
            <w:vAlign w:val="center"/>
            <w:hideMark/>
          </w:tcPr>
          <w:p w14:paraId="0001394A" w14:textId="77777777" w:rsidR="007848F0" w:rsidRPr="00A464CF" w:rsidRDefault="007848F0" w:rsidP="007848F0">
            <w:pPr>
              <w:jc w:val="center"/>
              <w:rPr>
                <w:rFonts w:eastAsia="Times New Roman"/>
                <w:sz w:val="22"/>
                <w:szCs w:val="22"/>
              </w:rPr>
            </w:pPr>
            <w:r w:rsidRPr="00A464CF">
              <w:rPr>
                <w:rFonts w:eastAsia="Times New Roman"/>
                <w:sz w:val="22"/>
                <w:szCs w:val="22"/>
              </w:rPr>
              <w:t>8</w:t>
            </w:r>
          </w:p>
        </w:tc>
        <w:tc>
          <w:tcPr>
            <w:tcW w:w="5378" w:type="dxa"/>
            <w:shd w:val="clear" w:color="auto" w:fill="auto"/>
            <w:vAlign w:val="center"/>
            <w:hideMark/>
          </w:tcPr>
          <w:p w14:paraId="49FF7B16" w14:textId="77777777" w:rsidR="007848F0" w:rsidRPr="00A464CF" w:rsidRDefault="007848F0" w:rsidP="007848F0">
            <w:pPr>
              <w:jc w:val="both"/>
              <w:rPr>
                <w:rFonts w:eastAsia="Times New Roman"/>
                <w:sz w:val="22"/>
                <w:szCs w:val="22"/>
              </w:rPr>
            </w:pPr>
            <w:r w:rsidRPr="00A464CF">
              <w:rPr>
                <w:rFonts w:eastAsia="Times New Roman"/>
                <w:sz w:val="22"/>
                <w:szCs w:val="22"/>
              </w:rPr>
              <w:t>Phát triển hệ sinh thái khởi nghiệp đổi mới sáng tạo, thúc đẩy hình thành lực lượng doanh nghiệp khởi nghiệp đổi mới sáng tạo có tiềm năng tăng trưởng cao, có sản phẩm dịch vụ hướng tới xuất khẩu ra thị trường quốc tế</w:t>
            </w:r>
          </w:p>
        </w:tc>
        <w:tc>
          <w:tcPr>
            <w:tcW w:w="7771" w:type="dxa"/>
            <w:shd w:val="clear" w:color="auto" w:fill="auto"/>
            <w:vAlign w:val="center"/>
            <w:hideMark/>
          </w:tcPr>
          <w:p w14:paraId="2CE27D6D" w14:textId="77777777" w:rsidR="007848F0" w:rsidRPr="00A464CF" w:rsidRDefault="007848F0" w:rsidP="007848F0">
            <w:pPr>
              <w:jc w:val="both"/>
              <w:rPr>
                <w:rFonts w:eastAsia="Times New Roman"/>
                <w:sz w:val="22"/>
                <w:szCs w:val="22"/>
              </w:rPr>
            </w:pPr>
            <w:r w:rsidRPr="00A464CF">
              <w:rPr>
                <w:rFonts w:eastAsia="Times New Roman"/>
                <w:sz w:val="22"/>
                <w:szCs w:val="22"/>
              </w:rPr>
              <w:t xml:space="preserve">Bộ Khoa học và Công nghệ đã xây dựng kế hoạch tổng thể triển khai Đề án “Hỗ trợ hệ sinh thái khởi nghiệp đổi mới sáng tạo quốc gia đến năm 2025”, xây dựng Thông tư quản lý Đề án, xây dựng tiêu chí chuyên gia, phối hợp với các đơn vị tổ chức hoạt động liên kết, kết nối hệ sinh thái khởi nghiệp đổi mới sáng tạo. Bộ đã tổ chức Ngày </w:t>
            </w:r>
            <w:r w:rsidRPr="00A464CF">
              <w:rPr>
                <w:rFonts w:eastAsia="Times New Roman"/>
                <w:sz w:val="22"/>
                <w:szCs w:val="22"/>
              </w:rPr>
              <w:lastRenderedPageBreak/>
              <w:t>hội khởi nghiệp quốc gia 2017 (techfest 2017), thu hút trên 4.500 lượt người tham dự, 29 thương vụ đầu tư ký kết với tổng giá trị 4,5 triệu USD. Bộ cũng tạo điều kiện phát triển hơn 40 vườn ươm công nghệ.</w:t>
            </w:r>
          </w:p>
          <w:p w14:paraId="6921E577" w14:textId="0D5C1495" w:rsidR="007848F0" w:rsidRPr="00A464CF" w:rsidRDefault="007848F0" w:rsidP="007848F0">
            <w:pPr>
              <w:jc w:val="both"/>
              <w:rPr>
                <w:rFonts w:eastAsia="Times New Roman"/>
                <w:sz w:val="22"/>
                <w:szCs w:val="22"/>
              </w:rPr>
            </w:pPr>
            <w:r w:rsidRPr="00A464CF">
              <w:rPr>
                <w:rFonts w:eastAsia="Times New Roman"/>
                <w:sz w:val="22"/>
                <w:szCs w:val="22"/>
              </w:rPr>
              <w:t>Bộ Kế hoạch và Đầu tư đã xây dựng Đề án thành lập trình Thủ tướng Chính phủ quyết định thành lập Trung tâm đổi mới sáng tạo quốc gia</w:t>
            </w:r>
            <w:r w:rsidR="00791CE6" w:rsidRPr="00A464CF">
              <w:rPr>
                <w:rFonts w:eastAsia="Times New Roman"/>
                <w:sz w:val="22"/>
                <w:szCs w:val="22"/>
              </w:rPr>
              <w:t>. Thủ tướng Chính phủ đã ban hành Quyết định 1269/QĐ-TTg ngày 02/10/2019 thành lập Trung tâm Đổi mới sáng tạo Quốc gia; </w:t>
            </w:r>
            <w:hyperlink r:id="rId9" w:tgtFrame="_blank" w:history="1">
              <w:r w:rsidR="00791CE6" w:rsidRPr="00A464CF">
                <w:rPr>
                  <w:rStyle w:val="Hyperlink"/>
                  <w:rFonts w:eastAsia="Times New Roman"/>
                  <w:color w:val="auto"/>
                  <w:sz w:val="22"/>
                  <w:szCs w:val="22"/>
                  <w:u w:val="none"/>
                </w:rPr>
                <w:t>Nghị định 38/2018/NĐ-CP</w:t>
              </w:r>
            </w:hyperlink>
            <w:r w:rsidR="00791CE6" w:rsidRPr="00A464CF">
              <w:rPr>
                <w:rFonts w:eastAsia="Times New Roman"/>
                <w:sz w:val="22"/>
                <w:szCs w:val="22"/>
              </w:rPr>
              <w:t xml:space="preserve"> của Chính phủ ngày 11/3/2018 quy định chi tiết về đầu tư cho DNNVV khởi nghiệp sáng tạo đã tạo khung pháp lý cho việc thành lập các quỹ đầu tư khởi nghiệp sáng tạo</w:t>
            </w:r>
          </w:p>
        </w:tc>
        <w:tc>
          <w:tcPr>
            <w:tcW w:w="1306" w:type="dxa"/>
            <w:shd w:val="clear" w:color="auto" w:fill="auto"/>
            <w:vAlign w:val="center"/>
            <w:hideMark/>
          </w:tcPr>
          <w:p w14:paraId="546CF234" w14:textId="77777777" w:rsidR="007848F0" w:rsidRPr="00A464CF" w:rsidRDefault="007848F0" w:rsidP="007848F0">
            <w:pPr>
              <w:rPr>
                <w:rFonts w:eastAsia="Times New Roman"/>
                <w:sz w:val="22"/>
                <w:szCs w:val="22"/>
              </w:rPr>
            </w:pPr>
            <w:r w:rsidRPr="00A464CF">
              <w:rPr>
                <w:rFonts w:eastAsia="Times New Roman"/>
                <w:sz w:val="22"/>
                <w:szCs w:val="22"/>
              </w:rPr>
              <w:lastRenderedPageBreak/>
              <w:t>Đã triển khai và có kết quả rõ ràng</w:t>
            </w:r>
          </w:p>
          <w:p w14:paraId="729484E9" w14:textId="77777777" w:rsidR="007848F0" w:rsidRPr="00A464CF" w:rsidRDefault="007848F0" w:rsidP="007848F0">
            <w:pPr>
              <w:rPr>
                <w:rFonts w:eastAsia="Times New Roman"/>
                <w:sz w:val="22"/>
                <w:szCs w:val="22"/>
              </w:rPr>
            </w:pPr>
          </w:p>
        </w:tc>
      </w:tr>
      <w:tr w:rsidR="00A464CF" w:rsidRPr="00A464CF" w14:paraId="46766BA4" w14:textId="77777777" w:rsidTr="00AA2D1A">
        <w:trPr>
          <w:trHeight w:val="1005"/>
        </w:trPr>
        <w:tc>
          <w:tcPr>
            <w:tcW w:w="708" w:type="dxa"/>
            <w:shd w:val="clear" w:color="auto" w:fill="auto"/>
            <w:noWrap/>
            <w:vAlign w:val="center"/>
            <w:hideMark/>
          </w:tcPr>
          <w:p w14:paraId="30557D19" w14:textId="77777777" w:rsidR="007848F0" w:rsidRPr="00A464CF" w:rsidRDefault="007848F0" w:rsidP="007848F0">
            <w:pPr>
              <w:jc w:val="center"/>
              <w:rPr>
                <w:rFonts w:eastAsia="Times New Roman"/>
                <w:sz w:val="22"/>
                <w:szCs w:val="22"/>
              </w:rPr>
            </w:pPr>
            <w:r w:rsidRPr="00A464CF">
              <w:rPr>
                <w:rFonts w:eastAsia="Times New Roman"/>
                <w:sz w:val="22"/>
                <w:szCs w:val="22"/>
              </w:rPr>
              <w:lastRenderedPageBreak/>
              <w:t>9</w:t>
            </w:r>
          </w:p>
        </w:tc>
        <w:tc>
          <w:tcPr>
            <w:tcW w:w="5378" w:type="dxa"/>
            <w:shd w:val="clear" w:color="auto" w:fill="auto"/>
            <w:vAlign w:val="center"/>
            <w:hideMark/>
          </w:tcPr>
          <w:p w14:paraId="5AACF28F" w14:textId="77777777" w:rsidR="007848F0" w:rsidRPr="00A464CF" w:rsidRDefault="007848F0" w:rsidP="007848F0">
            <w:pPr>
              <w:jc w:val="both"/>
              <w:rPr>
                <w:rFonts w:eastAsia="Times New Roman"/>
                <w:sz w:val="22"/>
                <w:szCs w:val="22"/>
              </w:rPr>
            </w:pPr>
            <w:r w:rsidRPr="00A464CF">
              <w:rPr>
                <w:rFonts w:eastAsia="Times New Roman"/>
                <w:sz w:val="22"/>
                <w:szCs w:val="22"/>
              </w:rPr>
              <w:t>Xây dựng và vận hành hệ thống cơ sở dữ liệu chuẩn đối sánh và thực hành tốt nhất về năng suất để phục vụ doanh nghiệp</w:t>
            </w:r>
          </w:p>
        </w:tc>
        <w:tc>
          <w:tcPr>
            <w:tcW w:w="7771" w:type="dxa"/>
            <w:shd w:val="clear" w:color="auto" w:fill="auto"/>
            <w:vAlign w:val="center"/>
            <w:hideMark/>
          </w:tcPr>
          <w:p w14:paraId="37E246EB" w14:textId="77777777" w:rsidR="007848F0" w:rsidRPr="00A464CF" w:rsidRDefault="007848F0" w:rsidP="007848F0">
            <w:pPr>
              <w:jc w:val="both"/>
              <w:rPr>
                <w:rFonts w:eastAsia="Times New Roman"/>
                <w:sz w:val="22"/>
                <w:szCs w:val="22"/>
              </w:rPr>
            </w:pPr>
            <w:r w:rsidRPr="00A464CF">
              <w:rPr>
                <w:rFonts w:eastAsia="Times New Roman"/>
                <w:sz w:val="22"/>
                <w:szCs w:val="22"/>
              </w:rPr>
              <w:t>Bộ đã triển khai xây dựng hệ thống dữ liệu</w:t>
            </w:r>
          </w:p>
        </w:tc>
        <w:tc>
          <w:tcPr>
            <w:tcW w:w="1306" w:type="dxa"/>
            <w:shd w:val="clear" w:color="auto" w:fill="auto"/>
            <w:vAlign w:val="center"/>
            <w:hideMark/>
          </w:tcPr>
          <w:p w14:paraId="7EC77F95"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068C8286" w14:textId="77777777" w:rsidTr="00AA2D1A">
        <w:trPr>
          <w:trHeight w:val="137"/>
        </w:trPr>
        <w:tc>
          <w:tcPr>
            <w:tcW w:w="708" w:type="dxa"/>
            <w:shd w:val="clear" w:color="auto" w:fill="auto"/>
            <w:noWrap/>
            <w:vAlign w:val="center"/>
            <w:hideMark/>
          </w:tcPr>
          <w:p w14:paraId="480C5DCD" w14:textId="77777777" w:rsidR="007848F0" w:rsidRPr="00A464CF" w:rsidRDefault="007848F0" w:rsidP="007848F0">
            <w:pPr>
              <w:jc w:val="center"/>
              <w:rPr>
                <w:rFonts w:eastAsia="Times New Roman"/>
                <w:b/>
                <w:bCs/>
                <w:sz w:val="22"/>
                <w:szCs w:val="22"/>
              </w:rPr>
            </w:pPr>
            <w:r w:rsidRPr="00A464CF">
              <w:rPr>
                <w:rFonts w:eastAsia="Times New Roman"/>
                <w:b/>
                <w:bCs/>
                <w:sz w:val="22"/>
                <w:szCs w:val="22"/>
              </w:rPr>
              <w:t>VI</w:t>
            </w:r>
          </w:p>
        </w:tc>
        <w:tc>
          <w:tcPr>
            <w:tcW w:w="14455" w:type="dxa"/>
            <w:gridSpan w:val="3"/>
            <w:shd w:val="clear" w:color="auto" w:fill="auto"/>
            <w:vAlign w:val="center"/>
            <w:hideMark/>
          </w:tcPr>
          <w:p w14:paraId="1D77588B" w14:textId="364713E4" w:rsidR="007848F0" w:rsidRPr="00A464CF" w:rsidRDefault="007848F0" w:rsidP="007848F0">
            <w:pPr>
              <w:rPr>
                <w:rFonts w:eastAsia="Times New Roman"/>
                <w:b/>
                <w:bCs/>
                <w:sz w:val="22"/>
                <w:szCs w:val="22"/>
              </w:rPr>
            </w:pPr>
            <w:r w:rsidRPr="00A464CF">
              <w:rPr>
                <w:rFonts w:eastAsia="Times New Roman"/>
                <w:b/>
                <w:bCs/>
                <w:sz w:val="22"/>
                <w:szCs w:val="22"/>
              </w:rPr>
              <w:t>Đẩy mạnh cơ cấu lại doanh nghiệp nhà nước</w:t>
            </w:r>
          </w:p>
        </w:tc>
      </w:tr>
      <w:tr w:rsidR="00A464CF" w:rsidRPr="00A464CF" w14:paraId="6D3C2D57" w14:textId="77777777" w:rsidTr="00AA2D1A">
        <w:trPr>
          <w:trHeight w:val="644"/>
        </w:trPr>
        <w:tc>
          <w:tcPr>
            <w:tcW w:w="708" w:type="dxa"/>
            <w:shd w:val="clear" w:color="auto" w:fill="auto"/>
            <w:noWrap/>
            <w:vAlign w:val="center"/>
            <w:hideMark/>
          </w:tcPr>
          <w:p w14:paraId="577800BB" w14:textId="77777777" w:rsidR="007848F0" w:rsidRPr="00A464CF" w:rsidRDefault="007848F0" w:rsidP="007848F0">
            <w:pPr>
              <w:jc w:val="center"/>
              <w:rPr>
                <w:rFonts w:eastAsia="Times New Roman"/>
                <w:sz w:val="22"/>
                <w:szCs w:val="22"/>
              </w:rPr>
            </w:pPr>
            <w:r w:rsidRPr="00A464CF">
              <w:rPr>
                <w:rFonts w:eastAsia="Times New Roman"/>
                <w:sz w:val="22"/>
                <w:szCs w:val="22"/>
              </w:rPr>
              <w:t>1</w:t>
            </w:r>
          </w:p>
        </w:tc>
        <w:tc>
          <w:tcPr>
            <w:tcW w:w="5378" w:type="dxa"/>
            <w:shd w:val="clear" w:color="auto" w:fill="auto"/>
            <w:vAlign w:val="center"/>
            <w:hideMark/>
          </w:tcPr>
          <w:p w14:paraId="31C0ECA9" w14:textId="3C7DB906" w:rsidR="007848F0" w:rsidRPr="00A464CF" w:rsidRDefault="007848F0" w:rsidP="007848F0">
            <w:pPr>
              <w:jc w:val="both"/>
              <w:rPr>
                <w:rFonts w:eastAsia="Times New Roman"/>
                <w:sz w:val="22"/>
                <w:szCs w:val="22"/>
              </w:rPr>
            </w:pPr>
            <w:r w:rsidRPr="00A464CF">
              <w:rPr>
                <w:rFonts w:eastAsia="Times New Roman"/>
                <w:sz w:val="22"/>
                <w:szCs w:val="22"/>
              </w:rPr>
              <w:t>Xây dựng đề án cơ cấu lại doanh nghiệp Nhà nước, trọng tâm là các tập đoàn, tổng công ty nhà nước giai đoạn 2016 - 2020 trong năm 2017</w:t>
            </w:r>
          </w:p>
        </w:tc>
        <w:tc>
          <w:tcPr>
            <w:tcW w:w="7771" w:type="dxa"/>
            <w:shd w:val="clear" w:color="auto" w:fill="auto"/>
            <w:vAlign w:val="center"/>
            <w:hideMark/>
          </w:tcPr>
          <w:p w14:paraId="5143EA5B" w14:textId="77777777" w:rsidR="007848F0" w:rsidRPr="00A464CF" w:rsidRDefault="007848F0" w:rsidP="007848F0">
            <w:pPr>
              <w:jc w:val="both"/>
              <w:rPr>
                <w:rFonts w:eastAsia="Times New Roman"/>
                <w:sz w:val="22"/>
                <w:szCs w:val="22"/>
              </w:rPr>
            </w:pPr>
            <w:r w:rsidRPr="00A464CF">
              <w:rPr>
                <w:rFonts w:eastAsia="Times New Roman"/>
                <w:sz w:val="22"/>
                <w:szCs w:val="22"/>
              </w:rPr>
              <w:t>Thủ tướng Chính phủ đã ban hành Quyết định số 707/QĐ-TTg ngày 25/5/2017</w:t>
            </w:r>
          </w:p>
        </w:tc>
        <w:tc>
          <w:tcPr>
            <w:tcW w:w="1306" w:type="dxa"/>
            <w:shd w:val="clear" w:color="auto" w:fill="auto"/>
            <w:vAlign w:val="center"/>
            <w:hideMark/>
          </w:tcPr>
          <w:p w14:paraId="35829288"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rõ ràng</w:t>
            </w:r>
          </w:p>
        </w:tc>
      </w:tr>
      <w:tr w:rsidR="00A464CF" w:rsidRPr="00A464CF" w14:paraId="1CB34574" w14:textId="77777777" w:rsidTr="00AA2D1A">
        <w:trPr>
          <w:trHeight w:val="559"/>
        </w:trPr>
        <w:tc>
          <w:tcPr>
            <w:tcW w:w="708" w:type="dxa"/>
            <w:shd w:val="clear" w:color="auto" w:fill="auto"/>
            <w:noWrap/>
            <w:vAlign w:val="center"/>
            <w:hideMark/>
          </w:tcPr>
          <w:p w14:paraId="38A45CD0" w14:textId="77777777" w:rsidR="007848F0" w:rsidRPr="00A464CF" w:rsidRDefault="007848F0" w:rsidP="007848F0">
            <w:pPr>
              <w:jc w:val="center"/>
              <w:rPr>
                <w:rFonts w:eastAsia="Times New Roman"/>
                <w:sz w:val="22"/>
                <w:szCs w:val="22"/>
              </w:rPr>
            </w:pPr>
            <w:r w:rsidRPr="00A464CF">
              <w:rPr>
                <w:rFonts w:eastAsia="Times New Roman"/>
                <w:sz w:val="22"/>
                <w:szCs w:val="22"/>
              </w:rPr>
              <w:t>2</w:t>
            </w:r>
          </w:p>
        </w:tc>
        <w:tc>
          <w:tcPr>
            <w:tcW w:w="5378" w:type="dxa"/>
            <w:shd w:val="clear" w:color="auto" w:fill="auto"/>
            <w:vAlign w:val="center"/>
            <w:hideMark/>
          </w:tcPr>
          <w:p w14:paraId="14897B4C" w14:textId="73DC8CDD" w:rsidR="007848F0" w:rsidRPr="00A464CF" w:rsidRDefault="007848F0" w:rsidP="007848F0">
            <w:pPr>
              <w:jc w:val="both"/>
              <w:rPr>
                <w:rFonts w:eastAsia="Times New Roman"/>
                <w:sz w:val="22"/>
                <w:szCs w:val="22"/>
              </w:rPr>
            </w:pPr>
            <w:r w:rsidRPr="00A464CF">
              <w:rPr>
                <w:rFonts w:eastAsia="Times New Roman"/>
                <w:sz w:val="22"/>
                <w:szCs w:val="22"/>
              </w:rPr>
              <w:t>Ban hành danh mục cụ thể ngành nghề, lĩnh vực đầu tư nhà nước theo quy định tại Luật quản lý sử dụng vốn đầu tư nhà nước vào sản xuất kinh doanh trong năm 2017</w:t>
            </w:r>
          </w:p>
        </w:tc>
        <w:tc>
          <w:tcPr>
            <w:tcW w:w="7771" w:type="dxa"/>
            <w:shd w:val="clear" w:color="auto" w:fill="auto"/>
            <w:vAlign w:val="center"/>
            <w:hideMark/>
          </w:tcPr>
          <w:p w14:paraId="794BBD04" w14:textId="77777777" w:rsidR="007848F0" w:rsidRPr="00A464CF" w:rsidRDefault="007848F0" w:rsidP="007848F0">
            <w:pPr>
              <w:jc w:val="both"/>
              <w:rPr>
                <w:rFonts w:eastAsia="Times New Roman"/>
                <w:sz w:val="22"/>
                <w:szCs w:val="22"/>
              </w:rPr>
            </w:pPr>
            <w:r w:rsidRPr="00A464CF">
              <w:rPr>
                <w:rFonts w:eastAsia="Times New Roman"/>
                <w:sz w:val="22"/>
                <w:szCs w:val="22"/>
              </w:rPr>
              <w:t>Chính phủ ban hành Nghị định số 32/2018/NĐ-CP ngày 08/3/2018 về sửa đổi, bổ sung Nghị định số 91/2015/NĐ-CP</w:t>
            </w:r>
          </w:p>
        </w:tc>
        <w:tc>
          <w:tcPr>
            <w:tcW w:w="1306" w:type="dxa"/>
            <w:shd w:val="clear" w:color="auto" w:fill="auto"/>
            <w:vAlign w:val="center"/>
            <w:hideMark/>
          </w:tcPr>
          <w:p w14:paraId="699F3B4F"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rõ ràng</w:t>
            </w:r>
          </w:p>
        </w:tc>
      </w:tr>
      <w:tr w:rsidR="00A464CF" w:rsidRPr="00A464CF" w14:paraId="0E45BE6D" w14:textId="77777777" w:rsidTr="00AA2D1A">
        <w:trPr>
          <w:trHeight w:val="1005"/>
        </w:trPr>
        <w:tc>
          <w:tcPr>
            <w:tcW w:w="708" w:type="dxa"/>
            <w:shd w:val="clear" w:color="auto" w:fill="auto"/>
            <w:noWrap/>
            <w:vAlign w:val="center"/>
            <w:hideMark/>
          </w:tcPr>
          <w:p w14:paraId="247C415E" w14:textId="77777777" w:rsidR="007848F0" w:rsidRPr="00A464CF" w:rsidRDefault="007848F0" w:rsidP="007848F0">
            <w:pPr>
              <w:jc w:val="center"/>
              <w:rPr>
                <w:rFonts w:eastAsia="Times New Roman"/>
                <w:sz w:val="22"/>
                <w:szCs w:val="22"/>
              </w:rPr>
            </w:pPr>
            <w:r w:rsidRPr="00A464CF">
              <w:rPr>
                <w:rFonts w:eastAsia="Times New Roman"/>
                <w:sz w:val="22"/>
                <w:szCs w:val="22"/>
              </w:rPr>
              <w:t>3</w:t>
            </w:r>
          </w:p>
        </w:tc>
        <w:tc>
          <w:tcPr>
            <w:tcW w:w="5378" w:type="dxa"/>
            <w:shd w:val="clear" w:color="auto" w:fill="auto"/>
            <w:vAlign w:val="center"/>
            <w:hideMark/>
          </w:tcPr>
          <w:p w14:paraId="4DE47EE7" w14:textId="5D742831" w:rsidR="007848F0" w:rsidRPr="00A464CF" w:rsidRDefault="007848F0" w:rsidP="007848F0">
            <w:pPr>
              <w:jc w:val="both"/>
              <w:rPr>
                <w:rFonts w:eastAsia="Times New Roman"/>
                <w:sz w:val="22"/>
                <w:szCs w:val="22"/>
              </w:rPr>
            </w:pPr>
            <w:r w:rsidRPr="00A464CF">
              <w:rPr>
                <w:rFonts w:eastAsia="Times New Roman"/>
                <w:sz w:val="22"/>
                <w:szCs w:val="22"/>
              </w:rPr>
              <w:t>Hoàn thiện Đề án thành lập cơ quan đại diện chủ sở hữu đối với doanh nghiệp nhà nước trong năm 2017</w:t>
            </w:r>
          </w:p>
        </w:tc>
        <w:tc>
          <w:tcPr>
            <w:tcW w:w="7771" w:type="dxa"/>
            <w:shd w:val="clear" w:color="auto" w:fill="auto"/>
            <w:vAlign w:val="center"/>
            <w:hideMark/>
          </w:tcPr>
          <w:p w14:paraId="51E52FE5" w14:textId="110917F3" w:rsidR="007848F0" w:rsidRPr="00A464CF" w:rsidRDefault="007848F0" w:rsidP="007848F0">
            <w:pPr>
              <w:jc w:val="both"/>
              <w:rPr>
                <w:rFonts w:eastAsia="Times New Roman"/>
                <w:sz w:val="22"/>
                <w:szCs w:val="22"/>
              </w:rPr>
            </w:pPr>
            <w:r w:rsidRPr="00A464CF">
              <w:rPr>
                <w:rFonts w:eastAsia="Times New Roman"/>
                <w:sz w:val="22"/>
                <w:szCs w:val="22"/>
              </w:rPr>
              <w:t>Đề án đã được thông qua. Hiện nay, Ủy ban Quản lý vốn nhà nước tại doanh nghiệp đang trong quá trình kiện toàn bộ máy, tổ chức hoạt động</w:t>
            </w:r>
          </w:p>
        </w:tc>
        <w:tc>
          <w:tcPr>
            <w:tcW w:w="1306" w:type="dxa"/>
            <w:shd w:val="clear" w:color="auto" w:fill="auto"/>
            <w:vAlign w:val="center"/>
            <w:hideMark/>
          </w:tcPr>
          <w:p w14:paraId="606B4512"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rõ ràng</w:t>
            </w:r>
          </w:p>
        </w:tc>
      </w:tr>
      <w:tr w:rsidR="00A464CF" w:rsidRPr="00A464CF" w14:paraId="0479258D" w14:textId="77777777" w:rsidTr="00AA2D1A">
        <w:trPr>
          <w:trHeight w:val="851"/>
        </w:trPr>
        <w:tc>
          <w:tcPr>
            <w:tcW w:w="708" w:type="dxa"/>
            <w:shd w:val="clear" w:color="auto" w:fill="auto"/>
            <w:noWrap/>
            <w:vAlign w:val="center"/>
            <w:hideMark/>
          </w:tcPr>
          <w:p w14:paraId="24A70AE1" w14:textId="77777777" w:rsidR="007848F0" w:rsidRPr="00A464CF" w:rsidRDefault="007848F0" w:rsidP="007848F0">
            <w:pPr>
              <w:jc w:val="center"/>
              <w:rPr>
                <w:rFonts w:eastAsia="Times New Roman"/>
                <w:sz w:val="22"/>
                <w:szCs w:val="22"/>
              </w:rPr>
            </w:pPr>
            <w:r w:rsidRPr="00A464CF">
              <w:rPr>
                <w:rFonts w:eastAsia="Times New Roman"/>
                <w:sz w:val="22"/>
                <w:szCs w:val="22"/>
              </w:rPr>
              <w:t>4</w:t>
            </w:r>
          </w:p>
        </w:tc>
        <w:tc>
          <w:tcPr>
            <w:tcW w:w="5378" w:type="dxa"/>
            <w:shd w:val="clear" w:color="auto" w:fill="auto"/>
            <w:vAlign w:val="center"/>
            <w:hideMark/>
          </w:tcPr>
          <w:p w14:paraId="375924D1" w14:textId="20197B96" w:rsidR="007848F0" w:rsidRPr="00A464CF" w:rsidRDefault="007848F0" w:rsidP="007848F0">
            <w:pPr>
              <w:jc w:val="both"/>
              <w:rPr>
                <w:rFonts w:eastAsia="Times New Roman"/>
                <w:sz w:val="22"/>
                <w:szCs w:val="22"/>
              </w:rPr>
            </w:pPr>
            <w:r w:rsidRPr="00A464CF">
              <w:rPr>
                <w:rFonts w:eastAsia="Times New Roman"/>
                <w:sz w:val="22"/>
                <w:szCs w:val="22"/>
              </w:rPr>
              <w:t>Các bộ, ngành, Ủy ban nhân dân tỉnh, thành phố trực thuộc Trung ương, các tập đoàn, tổng công ty nhà nước rà soát, tập hợp, báo cáo cơ quan có thẩm quyền trước tháng 6 năm 2017 về các dự án thua lỗ kéo dài, không có khả năng phục hồi; thực hiện xử lý theo thẩm quyền, kể cả giải pháp phá sản và hoàn thành xử lý trước tháng 6 năm 2018</w:t>
            </w:r>
          </w:p>
        </w:tc>
        <w:tc>
          <w:tcPr>
            <w:tcW w:w="7771" w:type="dxa"/>
            <w:shd w:val="clear" w:color="auto" w:fill="auto"/>
            <w:vAlign w:val="center"/>
            <w:hideMark/>
          </w:tcPr>
          <w:p w14:paraId="71E63FE9" w14:textId="77777777" w:rsidR="007848F0" w:rsidRPr="00A464CF" w:rsidRDefault="007848F0" w:rsidP="007848F0">
            <w:pPr>
              <w:jc w:val="both"/>
              <w:rPr>
                <w:rFonts w:eastAsia="Times New Roman"/>
                <w:sz w:val="22"/>
                <w:szCs w:val="22"/>
              </w:rPr>
            </w:pPr>
            <w:r w:rsidRPr="00A464CF">
              <w:rPr>
                <w:rFonts w:eastAsia="Times New Roman"/>
                <w:sz w:val="22"/>
                <w:szCs w:val="22"/>
              </w:rPr>
              <w:t>Các Bộ, ngành, UBND cấp tỉnh đã rà soát, tập hợp, báo cáo</w:t>
            </w:r>
          </w:p>
        </w:tc>
        <w:tc>
          <w:tcPr>
            <w:tcW w:w="1306" w:type="dxa"/>
            <w:shd w:val="clear" w:color="auto" w:fill="auto"/>
            <w:vAlign w:val="center"/>
            <w:hideMark/>
          </w:tcPr>
          <w:p w14:paraId="292ED39E"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rõ ràng</w:t>
            </w:r>
          </w:p>
        </w:tc>
      </w:tr>
      <w:tr w:rsidR="00A464CF" w:rsidRPr="00A464CF" w14:paraId="1BA03E55" w14:textId="77777777" w:rsidTr="00AA2D1A">
        <w:trPr>
          <w:trHeight w:val="1319"/>
        </w:trPr>
        <w:tc>
          <w:tcPr>
            <w:tcW w:w="708" w:type="dxa"/>
            <w:shd w:val="clear" w:color="auto" w:fill="auto"/>
            <w:noWrap/>
            <w:vAlign w:val="center"/>
            <w:hideMark/>
          </w:tcPr>
          <w:p w14:paraId="36A23AD6" w14:textId="77777777" w:rsidR="007848F0" w:rsidRPr="00A464CF" w:rsidRDefault="007848F0" w:rsidP="007848F0">
            <w:pPr>
              <w:jc w:val="center"/>
              <w:rPr>
                <w:rFonts w:eastAsia="Times New Roman"/>
                <w:sz w:val="22"/>
                <w:szCs w:val="22"/>
              </w:rPr>
            </w:pPr>
            <w:r w:rsidRPr="00A464CF">
              <w:rPr>
                <w:rFonts w:eastAsia="Times New Roman"/>
                <w:sz w:val="22"/>
                <w:szCs w:val="22"/>
              </w:rPr>
              <w:lastRenderedPageBreak/>
              <w:t>5</w:t>
            </w:r>
          </w:p>
        </w:tc>
        <w:tc>
          <w:tcPr>
            <w:tcW w:w="5378" w:type="dxa"/>
            <w:shd w:val="clear" w:color="auto" w:fill="auto"/>
            <w:vAlign w:val="center"/>
            <w:hideMark/>
          </w:tcPr>
          <w:p w14:paraId="08B7E875" w14:textId="58103BD4" w:rsidR="007848F0" w:rsidRPr="00A464CF" w:rsidRDefault="007848F0" w:rsidP="007848F0">
            <w:pPr>
              <w:jc w:val="both"/>
              <w:rPr>
                <w:rFonts w:eastAsia="Times New Roman"/>
                <w:sz w:val="22"/>
                <w:szCs w:val="22"/>
              </w:rPr>
            </w:pPr>
            <w:r w:rsidRPr="00A464CF">
              <w:rPr>
                <w:rFonts w:eastAsia="Times New Roman"/>
                <w:sz w:val="22"/>
                <w:szCs w:val="22"/>
              </w:rPr>
              <w:t>Các bộ, Ủy ban nhân dân các tỉnh, thành phố trực thuộc Trung ương tập hợp, trước tháng 6 năm 2017 công bố đầy đủ danh mục doanh nghiệp nhà nước không cần nắm giữ trên 50% sở hữu thuộc thẩm quyền quản lý, bao gồm kế hoạch và lộ trình thoái vốn hàng năm đảm bảo hoàn thành thoái vốn trước năm 2019</w:t>
            </w:r>
          </w:p>
        </w:tc>
        <w:tc>
          <w:tcPr>
            <w:tcW w:w="7771" w:type="dxa"/>
            <w:shd w:val="clear" w:color="auto" w:fill="auto"/>
            <w:vAlign w:val="center"/>
            <w:hideMark/>
          </w:tcPr>
          <w:p w14:paraId="21520F16" w14:textId="278FFF54" w:rsidR="00DB1D87" w:rsidRPr="00A464CF" w:rsidRDefault="00DB1D87" w:rsidP="007848F0">
            <w:pPr>
              <w:jc w:val="both"/>
              <w:rPr>
                <w:rFonts w:eastAsia="Times New Roman"/>
                <w:sz w:val="22"/>
                <w:szCs w:val="22"/>
              </w:rPr>
            </w:pPr>
            <w:r w:rsidRPr="00A464CF">
              <w:rPr>
                <w:rFonts w:eastAsia="Times New Roman"/>
                <w:sz w:val="22"/>
                <w:szCs w:val="22"/>
              </w:rPr>
              <w:t>Công văn số 991/TTg-ĐMDN ngày 10/7/2017 Thủ tướng Chính phủ và Quyết định số 1232/QĐ-TTg ngày 17 tháng 8 năm 2017 của Thủ tướng Chính phủ ban hành Danh mục doanh nghiệp có vốn nhà nước thực hiện thoái vốn giai đoạn 2017 – 2020.</w:t>
            </w:r>
          </w:p>
          <w:p w14:paraId="125D7346" w14:textId="02CCE029" w:rsidR="007848F0" w:rsidRPr="00A464CF" w:rsidRDefault="007848F0" w:rsidP="007848F0">
            <w:pPr>
              <w:jc w:val="both"/>
              <w:rPr>
                <w:rFonts w:eastAsia="Times New Roman"/>
                <w:sz w:val="22"/>
                <w:szCs w:val="22"/>
              </w:rPr>
            </w:pPr>
          </w:p>
        </w:tc>
        <w:tc>
          <w:tcPr>
            <w:tcW w:w="1306" w:type="dxa"/>
            <w:shd w:val="clear" w:color="auto" w:fill="auto"/>
            <w:vAlign w:val="center"/>
            <w:hideMark/>
          </w:tcPr>
          <w:p w14:paraId="261C02B2"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rõ ràng</w:t>
            </w:r>
          </w:p>
        </w:tc>
      </w:tr>
      <w:tr w:rsidR="00A464CF" w:rsidRPr="00A464CF" w14:paraId="0531B405" w14:textId="77777777" w:rsidTr="00AA2D1A">
        <w:trPr>
          <w:trHeight w:val="1063"/>
        </w:trPr>
        <w:tc>
          <w:tcPr>
            <w:tcW w:w="708" w:type="dxa"/>
            <w:shd w:val="clear" w:color="auto" w:fill="auto"/>
            <w:noWrap/>
            <w:vAlign w:val="center"/>
            <w:hideMark/>
          </w:tcPr>
          <w:p w14:paraId="6D840A48" w14:textId="77777777" w:rsidR="007848F0" w:rsidRPr="00A464CF" w:rsidRDefault="007848F0" w:rsidP="007848F0">
            <w:pPr>
              <w:jc w:val="center"/>
              <w:rPr>
                <w:rFonts w:eastAsia="Times New Roman"/>
                <w:sz w:val="22"/>
                <w:szCs w:val="22"/>
              </w:rPr>
            </w:pPr>
            <w:r w:rsidRPr="00A464CF">
              <w:rPr>
                <w:rFonts w:eastAsia="Times New Roman"/>
                <w:sz w:val="22"/>
                <w:szCs w:val="22"/>
              </w:rPr>
              <w:t>6</w:t>
            </w:r>
          </w:p>
        </w:tc>
        <w:tc>
          <w:tcPr>
            <w:tcW w:w="5378" w:type="dxa"/>
            <w:shd w:val="clear" w:color="auto" w:fill="auto"/>
            <w:vAlign w:val="center"/>
            <w:hideMark/>
          </w:tcPr>
          <w:p w14:paraId="7D8B7054" w14:textId="323ECB82" w:rsidR="007848F0" w:rsidRPr="00A464CF" w:rsidRDefault="007848F0" w:rsidP="007848F0">
            <w:pPr>
              <w:jc w:val="both"/>
              <w:rPr>
                <w:rFonts w:eastAsia="Times New Roman"/>
                <w:sz w:val="22"/>
                <w:szCs w:val="22"/>
              </w:rPr>
            </w:pPr>
            <w:r w:rsidRPr="00A464CF">
              <w:rPr>
                <w:rFonts w:eastAsia="Times New Roman"/>
                <w:sz w:val="22"/>
                <w:szCs w:val="22"/>
              </w:rPr>
              <w:t>Các tập đoàn, tổng công ty nhà nước xây dựng kế hoạch và thực hiện cơ cấu lại toàn diện giai đoạn 2016 - 2020, tầm nhìn đến năm 2025, gồm cơ cấu lại về sở hữu, ngành, nghề đầu tư kinh doanh và sản phẩm, cơ cấu lại tài chính và danh mục đầu tư, đổi mới công nghệ và quản lý, áp dụng quản trị hiện đại theo thông lệ quốc tế</w:t>
            </w:r>
          </w:p>
        </w:tc>
        <w:tc>
          <w:tcPr>
            <w:tcW w:w="7771" w:type="dxa"/>
            <w:shd w:val="clear" w:color="auto" w:fill="auto"/>
            <w:vAlign w:val="center"/>
            <w:hideMark/>
          </w:tcPr>
          <w:p w14:paraId="6961303D" w14:textId="77777777" w:rsidR="007848F0" w:rsidRPr="00A464CF" w:rsidRDefault="007848F0" w:rsidP="007848F0">
            <w:pPr>
              <w:jc w:val="both"/>
              <w:rPr>
                <w:rFonts w:eastAsia="Times New Roman"/>
                <w:sz w:val="22"/>
                <w:szCs w:val="22"/>
              </w:rPr>
            </w:pPr>
            <w:r w:rsidRPr="00A464CF">
              <w:rPr>
                <w:rFonts w:eastAsia="Times New Roman"/>
                <w:sz w:val="22"/>
                <w:szCs w:val="22"/>
              </w:rPr>
              <w:t>Hầu hết các tập đoàn, tổng công ty đã xây dựng phương án cơ cấu lại, tuy nhiên, việc tổ chức còn thụ động, chậm trễ và thiếu hiệu quả</w:t>
            </w:r>
          </w:p>
        </w:tc>
        <w:tc>
          <w:tcPr>
            <w:tcW w:w="1306" w:type="dxa"/>
            <w:shd w:val="clear" w:color="auto" w:fill="auto"/>
            <w:vAlign w:val="center"/>
            <w:hideMark/>
          </w:tcPr>
          <w:p w14:paraId="50847963" w14:textId="77777777" w:rsidR="007848F0" w:rsidRPr="00A464CF" w:rsidRDefault="007848F0" w:rsidP="007848F0">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5C76BD98" w14:textId="77777777" w:rsidTr="00AA2D1A">
        <w:trPr>
          <w:trHeight w:val="60"/>
        </w:trPr>
        <w:tc>
          <w:tcPr>
            <w:tcW w:w="708" w:type="dxa"/>
            <w:shd w:val="clear" w:color="auto" w:fill="auto"/>
            <w:noWrap/>
            <w:vAlign w:val="center"/>
            <w:hideMark/>
          </w:tcPr>
          <w:p w14:paraId="5ED3CA41" w14:textId="77777777" w:rsidR="007848F0" w:rsidRPr="00A464CF" w:rsidRDefault="007848F0" w:rsidP="007848F0">
            <w:pPr>
              <w:jc w:val="center"/>
              <w:rPr>
                <w:rFonts w:eastAsia="Times New Roman"/>
                <w:sz w:val="22"/>
                <w:szCs w:val="22"/>
              </w:rPr>
            </w:pPr>
            <w:r w:rsidRPr="00A464CF">
              <w:rPr>
                <w:rFonts w:eastAsia="Times New Roman"/>
                <w:sz w:val="22"/>
                <w:szCs w:val="22"/>
              </w:rPr>
              <w:t>7</w:t>
            </w:r>
          </w:p>
        </w:tc>
        <w:tc>
          <w:tcPr>
            <w:tcW w:w="5378" w:type="dxa"/>
            <w:shd w:val="clear" w:color="auto" w:fill="auto"/>
            <w:vAlign w:val="center"/>
            <w:hideMark/>
          </w:tcPr>
          <w:p w14:paraId="7E03006B" w14:textId="77777777" w:rsidR="007848F0" w:rsidRPr="00A464CF" w:rsidRDefault="007848F0" w:rsidP="007848F0">
            <w:pPr>
              <w:jc w:val="both"/>
              <w:rPr>
                <w:rFonts w:eastAsia="Times New Roman"/>
                <w:sz w:val="22"/>
                <w:szCs w:val="22"/>
              </w:rPr>
            </w:pPr>
            <w:r w:rsidRPr="00A464CF">
              <w:rPr>
                <w:rFonts w:eastAsia="Times New Roman"/>
                <w:sz w:val="22"/>
                <w:szCs w:val="22"/>
              </w:rPr>
              <w:t>Hoàn thành việc chuyển giao các doanh nghiệp thuộc diện chuyển giao về SCIC trước tháng 12 năm 2017</w:t>
            </w:r>
          </w:p>
        </w:tc>
        <w:tc>
          <w:tcPr>
            <w:tcW w:w="7771" w:type="dxa"/>
            <w:shd w:val="clear" w:color="auto" w:fill="auto"/>
            <w:vAlign w:val="center"/>
            <w:hideMark/>
          </w:tcPr>
          <w:p w14:paraId="5433FCC9" w14:textId="768D5368" w:rsidR="007848F0" w:rsidRPr="00A464CF" w:rsidRDefault="007848F0" w:rsidP="007848F0">
            <w:pPr>
              <w:jc w:val="both"/>
              <w:rPr>
                <w:rFonts w:eastAsia="Times New Roman"/>
                <w:sz w:val="22"/>
                <w:szCs w:val="22"/>
              </w:rPr>
            </w:pPr>
            <w:r w:rsidRPr="00A464CF">
              <w:rPr>
                <w:rFonts w:eastAsia="Times New Roman"/>
                <w:sz w:val="22"/>
                <w:szCs w:val="22"/>
              </w:rPr>
              <w:t>Qua 10 năm hoạt động, vốn nhà nước do SCIC tiếp nhận quản lý mới khoảng 1% tổng số vốn nhà nước tại doanh nghiệp (theo giá trị sổ sách); 99% vốn nhà nước tại doanh nghiệp vẫn do các Bộ, địa phương quản lý</w:t>
            </w:r>
          </w:p>
        </w:tc>
        <w:tc>
          <w:tcPr>
            <w:tcW w:w="1306" w:type="dxa"/>
            <w:shd w:val="clear" w:color="auto" w:fill="auto"/>
            <w:vAlign w:val="center"/>
            <w:hideMark/>
          </w:tcPr>
          <w:p w14:paraId="697584DB" w14:textId="77777777" w:rsidR="007848F0" w:rsidRPr="00A464CF" w:rsidRDefault="007848F0" w:rsidP="007848F0">
            <w:pPr>
              <w:rPr>
                <w:rFonts w:eastAsia="Times New Roman"/>
                <w:sz w:val="22"/>
                <w:szCs w:val="22"/>
              </w:rPr>
            </w:pPr>
            <w:r w:rsidRPr="00A464CF">
              <w:rPr>
                <w:rFonts w:eastAsia="Times New Roman"/>
                <w:sz w:val="22"/>
                <w:szCs w:val="22"/>
              </w:rPr>
              <w:t xml:space="preserve">Đã triển khai nhưng chậm so với kế hoạch </w:t>
            </w:r>
          </w:p>
        </w:tc>
      </w:tr>
      <w:tr w:rsidR="00A464CF" w:rsidRPr="00A464CF" w14:paraId="4A8BC1BB" w14:textId="77777777" w:rsidTr="00AA2D1A">
        <w:trPr>
          <w:trHeight w:val="1267"/>
        </w:trPr>
        <w:tc>
          <w:tcPr>
            <w:tcW w:w="708" w:type="dxa"/>
            <w:shd w:val="clear" w:color="auto" w:fill="auto"/>
            <w:noWrap/>
            <w:vAlign w:val="center"/>
            <w:hideMark/>
          </w:tcPr>
          <w:p w14:paraId="5254499B" w14:textId="77777777" w:rsidR="00DB1D87" w:rsidRPr="00A464CF" w:rsidRDefault="00DB1D87" w:rsidP="00DB1D87">
            <w:pPr>
              <w:jc w:val="center"/>
              <w:rPr>
                <w:rFonts w:eastAsia="Times New Roman"/>
                <w:sz w:val="22"/>
                <w:szCs w:val="22"/>
              </w:rPr>
            </w:pPr>
            <w:r w:rsidRPr="00A464CF">
              <w:rPr>
                <w:rFonts w:eastAsia="Times New Roman"/>
                <w:sz w:val="22"/>
                <w:szCs w:val="22"/>
              </w:rPr>
              <w:t>8</w:t>
            </w:r>
          </w:p>
        </w:tc>
        <w:tc>
          <w:tcPr>
            <w:tcW w:w="5378" w:type="dxa"/>
            <w:shd w:val="clear" w:color="auto" w:fill="auto"/>
            <w:vAlign w:val="center"/>
            <w:hideMark/>
          </w:tcPr>
          <w:p w14:paraId="0698B3E7" w14:textId="1B0BB83F" w:rsidR="00DB1D87" w:rsidRPr="00A464CF" w:rsidRDefault="00DB1D87" w:rsidP="00DB1D87">
            <w:pPr>
              <w:jc w:val="both"/>
              <w:rPr>
                <w:rFonts w:eastAsia="Times New Roman"/>
                <w:sz w:val="22"/>
                <w:szCs w:val="22"/>
              </w:rPr>
            </w:pPr>
            <w:r w:rsidRPr="00A464CF">
              <w:rPr>
                <w:rFonts w:eastAsia="Times New Roman"/>
                <w:sz w:val="22"/>
                <w:szCs w:val="22"/>
              </w:rPr>
              <w:t>Thực hiện đúng kế hoạch cổ phần hóa, thoái vốn đầu tư của nhà nước một cách công khai, minh bạch theo cơ chế thị trường; tăng cường kiểm tra, thanh tra, giám sát, kiểm toán, không để xảy ra thất thoát vốn, tài sản nhà nước; có cơ chế kiểm soát phù hợp nguồn vốn mua bán, sáp nhập doanh nghiệp; các doanh nghiệp cổ phần hóa phải đăng ký giao dịch và niêm yết trên thị trường chứng khoán trong thời hạn một năm kể từ ngày phát hành cổ phiếu lần đầu; thu hút nhà đầu tư chiến lược có năng lực, giảm tỉ lệ sở hữu nhà nước xuống mức đủ để thay đổi quản trị doanh nghiệp một cách thực chất</w:t>
            </w:r>
          </w:p>
        </w:tc>
        <w:tc>
          <w:tcPr>
            <w:tcW w:w="7771" w:type="dxa"/>
            <w:shd w:val="clear" w:color="auto" w:fill="auto"/>
            <w:vAlign w:val="center"/>
            <w:hideMark/>
          </w:tcPr>
          <w:p w14:paraId="3D1E01EF" w14:textId="77777777" w:rsidR="00DB1D87" w:rsidRPr="00A464CF" w:rsidRDefault="00DB1D87" w:rsidP="00DB1D87">
            <w:pPr>
              <w:jc w:val="both"/>
              <w:rPr>
                <w:rFonts w:eastAsia="Times New Roman"/>
                <w:sz w:val="22"/>
                <w:lang w:val="sv-SE"/>
              </w:rPr>
            </w:pPr>
            <w:r w:rsidRPr="00A464CF">
              <w:rPr>
                <w:rFonts w:eastAsia="Times New Roman"/>
                <w:sz w:val="22"/>
                <w:lang w:val="sv-SE"/>
              </w:rPr>
              <w:t>Tiến độ cổ phần hóa, thoái vốn nhà nước quá chậm, chưa đạt mục tiêu đề ra. T</w:t>
            </w:r>
            <w:r w:rsidRPr="00A464CF">
              <w:rPr>
                <w:rFonts w:eastAsia="Times New Roman"/>
                <w:spacing w:val="-4"/>
                <w:sz w:val="22"/>
                <w:lang w:val="sv-SE"/>
              </w:rPr>
              <w:t xml:space="preserve">heo phê duyệt của Thủ tướng Chính phủ, đến hết năm 2020 còn phải thực hiện cổ phần hóa là 92 doanh nghiệp, trong đó Bộ, ngành và địa phương còn nhiều doanh nghiệp thuộc danh sách phải thực hiện là: Ủy ban Quản lý vốn nhà nước tại doanh nghiệp (6 doanh nghiệp), Bộ Công thương (4 doanh nghiệp), Bộ Xây dựng (2 doanh nghiệp), thành phố Hà Nội (13 doanh nghiệp), thành phố Hồ Chí Minh (38 doanh nghiệp)....; đồng thời, phải thực hiện thoái vốn tại nhiều doanh nghiệp có giá trị lớn, như: </w:t>
            </w:r>
            <w:r w:rsidRPr="00A464CF">
              <w:rPr>
                <w:rFonts w:eastAsia="Times New Roman"/>
                <w:sz w:val="22"/>
                <w:lang w:val="sv-SE"/>
              </w:rPr>
              <w:t>Bộ Xây dựng còn phải thoái vốn tại 8/11 tổng công ty cổ phần, thành phố Hà Nội còn phải thoái vốn tại 31/34 doanh nghiệp do thành phố quản lý....</w:t>
            </w:r>
          </w:p>
          <w:p w14:paraId="2B3A4A4F" w14:textId="6BAA9F2D" w:rsidR="00DB1D87" w:rsidRPr="00A464CF" w:rsidRDefault="00DB1D87" w:rsidP="00DB1D87">
            <w:pPr>
              <w:jc w:val="both"/>
              <w:rPr>
                <w:rFonts w:eastAsia="Times New Roman"/>
                <w:sz w:val="22"/>
                <w:szCs w:val="22"/>
              </w:rPr>
            </w:pPr>
          </w:p>
        </w:tc>
        <w:tc>
          <w:tcPr>
            <w:tcW w:w="1306" w:type="dxa"/>
            <w:shd w:val="clear" w:color="auto" w:fill="auto"/>
            <w:vAlign w:val="center"/>
            <w:hideMark/>
          </w:tcPr>
          <w:p w14:paraId="764184AC" w14:textId="77777777" w:rsidR="00DB1D87" w:rsidRPr="00A464CF" w:rsidRDefault="00DB1D87" w:rsidP="00DB1D87">
            <w:pPr>
              <w:rPr>
                <w:rFonts w:eastAsia="Times New Roman"/>
                <w:sz w:val="22"/>
                <w:szCs w:val="22"/>
              </w:rPr>
            </w:pPr>
            <w:r w:rsidRPr="00A464CF">
              <w:rPr>
                <w:rFonts w:eastAsia="Times New Roman"/>
                <w:sz w:val="22"/>
                <w:szCs w:val="22"/>
              </w:rPr>
              <w:t xml:space="preserve">Đã triển khai nhưng chậm so với kế hoạch </w:t>
            </w:r>
          </w:p>
        </w:tc>
      </w:tr>
      <w:tr w:rsidR="00A464CF" w:rsidRPr="00A464CF" w14:paraId="381D3DFD" w14:textId="77777777" w:rsidTr="00AA2D1A">
        <w:trPr>
          <w:trHeight w:val="345"/>
        </w:trPr>
        <w:tc>
          <w:tcPr>
            <w:tcW w:w="708" w:type="dxa"/>
            <w:shd w:val="clear" w:color="auto" w:fill="auto"/>
            <w:noWrap/>
            <w:vAlign w:val="center"/>
            <w:hideMark/>
          </w:tcPr>
          <w:p w14:paraId="6E93F786" w14:textId="77777777" w:rsidR="00DB1D87" w:rsidRPr="00A464CF" w:rsidRDefault="00DB1D87" w:rsidP="00DB1D87">
            <w:pPr>
              <w:jc w:val="center"/>
              <w:rPr>
                <w:rFonts w:eastAsia="Times New Roman"/>
                <w:b/>
                <w:bCs/>
                <w:sz w:val="22"/>
                <w:szCs w:val="22"/>
              </w:rPr>
            </w:pPr>
            <w:r w:rsidRPr="00A464CF">
              <w:rPr>
                <w:rFonts w:eastAsia="Times New Roman"/>
                <w:b/>
                <w:bCs/>
                <w:sz w:val="22"/>
                <w:szCs w:val="22"/>
              </w:rPr>
              <w:t>VII</w:t>
            </w:r>
          </w:p>
        </w:tc>
        <w:tc>
          <w:tcPr>
            <w:tcW w:w="14455" w:type="dxa"/>
            <w:gridSpan w:val="3"/>
            <w:shd w:val="clear" w:color="auto" w:fill="auto"/>
            <w:vAlign w:val="center"/>
            <w:hideMark/>
          </w:tcPr>
          <w:p w14:paraId="3D8BD2A8" w14:textId="77777777" w:rsidR="00DB1D87" w:rsidRPr="00A464CF" w:rsidRDefault="00DB1D87" w:rsidP="00DB1D87">
            <w:pPr>
              <w:rPr>
                <w:rFonts w:eastAsia="Times New Roman"/>
                <w:b/>
                <w:bCs/>
                <w:sz w:val="22"/>
                <w:szCs w:val="22"/>
              </w:rPr>
            </w:pPr>
            <w:r w:rsidRPr="00A464CF">
              <w:rPr>
                <w:rFonts w:eastAsia="Times New Roman"/>
                <w:b/>
                <w:bCs/>
                <w:sz w:val="22"/>
                <w:szCs w:val="22"/>
              </w:rPr>
              <w:t>Cơ cấu lại thị trường tài chính, trọng tâm là các tổ chức tín dụng</w:t>
            </w:r>
          </w:p>
        </w:tc>
      </w:tr>
      <w:tr w:rsidR="00A464CF" w:rsidRPr="00A464CF" w14:paraId="29CBBB08" w14:textId="77777777" w:rsidTr="00AA2D1A">
        <w:trPr>
          <w:trHeight w:val="60"/>
        </w:trPr>
        <w:tc>
          <w:tcPr>
            <w:tcW w:w="708" w:type="dxa"/>
            <w:shd w:val="clear" w:color="auto" w:fill="auto"/>
            <w:noWrap/>
            <w:vAlign w:val="center"/>
            <w:hideMark/>
          </w:tcPr>
          <w:p w14:paraId="54DFED46" w14:textId="77777777" w:rsidR="00DB1D87" w:rsidRPr="00A464CF" w:rsidRDefault="00DB1D87" w:rsidP="00DB1D87">
            <w:pPr>
              <w:jc w:val="right"/>
              <w:rPr>
                <w:rFonts w:eastAsia="Times New Roman"/>
                <w:sz w:val="22"/>
                <w:szCs w:val="22"/>
              </w:rPr>
            </w:pPr>
            <w:r w:rsidRPr="00A464CF">
              <w:rPr>
                <w:rFonts w:eastAsia="Times New Roman"/>
                <w:sz w:val="22"/>
                <w:szCs w:val="22"/>
              </w:rPr>
              <w:t>1</w:t>
            </w:r>
          </w:p>
        </w:tc>
        <w:tc>
          <w:tcPr>
            <w:tcW w:w="5378" w:type="dxa"/>
            <w:shd w:val="clear" w:color="auto" w:fill="auto"/>
            <w:vAlign w:val="center"/>
            <w:hideMark/>
          </w:tcPr>
          <w:p w14:paraId="2D9E7285" w14:textId="77777777" w:rsidR="00DB1D87" w:rsidRPr="00A464CF" w:rsidRDefault="00DB1D87" w:rsidP="00DB1D87">
            <w:pPr>
              <w:jc w:val="both"/>
              <w:rPr>
                <w:rFonts w:eastAsia="Times New Roman"/>
                <w:sz w:val="22"/>
                <w:szCs w:val="22"/>
              </w:rPr>
            </w:pPr>
            <w:r w:rsidRPr="00A464CF">
              <w:rPr>
                <w:rFonts w:eastAsia="Times New Roman"/>
                <w:sz w:val="22"/>
                <w:szCs w:val="22"/>
              </w:rPr>
              <w:t xml:space="preserve">Tiếp tục lành mạnh hóa tình hình tài chính, nâng cao năng lực quản trị của các tổ chức tín dụng theo quy định của pháp luật và phù hợp với thông lệ quốc tế; từng bước xử lý và xóa bỏ tình trạng đầu tư chéo, sở hữu chéo trong các tổ chức tín dụng có liên quan; đẩy mạnh thoái vốn ngoài ngành của các ngân hàng thương mại; đến năm 2020, các </w:t>
            </w:r>
            <w:r w:rsidRPr="00A464CF">
              <w:rPr>
                <w:rFonts w:eastAsia="Times New Roman"/>
                <w:sz w:val="22"/>
                <w:szCs w:val="22"/>
              </w:rPr>
              <w:lastRenderedPageBreak/>
              <w:t>ngân hàng thương mại cơ bản có mức vốn tự có theo chuẩn mực của Basel II, trong đó ít nhất 12 - 15 ngân hàng thương mại áp dụng thành công Basel II (phương pháp tiêu chuẩn trở lên)</w:t>
            </w:r>
          </w:p>
        </w:tc>
        <w:tc>
          <w:tcPr>
            <w:tcW w:w="7771" w:type="dxa"/>
            <w:shd w:val="clear" w:color="auto" w:fill="auto"/>
          </w:tcPr>
          <w:p w14:paraId="06DA8D63" w14:textId="77777777" w:rsidR="00DB1D87" w:rsidRPr="00A464CF" w:rsidRDefault="00DB1D87" w:rsidP="00DB1D87">
            <w:pPr>
              <w:spacing w:before="120" w:after="120" w:line="264" w:lineRule="auto"/>
              <w:jc w:val="both"/>
              <w:rPr>
                <w:rFonts w:eastAsia="Calibri"/>
                <w:sz w:val="22"/>
                <w:szCs w:val="22"/>
                <w:lang w:val="pt-BR" w:eastAsia="en-US"/>
              </w:rPr>
            </w:pPr>
            <w:r w:rsidRPr="00A464CF">
              <w:rPr>
                <w:rFonts w:eastAsia="Calibri"/>
                <w:sz w:val="22"/>
                <w:szCs w:val="22"/>
                <w:lang w:val="pt-BR" w:eastAsia="en-US"/>
              </w:rPr>
              <w:lastRenderedPageBreak/>
              <w:t xml:space="preserve">Từ 2016 đến nay, tổng tài sản của hệ thống TCTD tăng dần đều qua các năm và </w:t>
            </w:r>
            <w:r w:rsidRPr="00A464CF">
              <w:rPr>
                <w:rFonts w:eastAsia="Calibri"/>
                <w:sz w:val="22"/>
                <w:szCs w:val="22"/>
                <w:lang w:val="nl-NL" w:eastAsia="en-US"/>
              </w:rPr>
              <w:t>đến cuối tháng 9/2020 đạt 13,19 triệu tỷ đồng, tăng 55,1% so với năm 2016</w:t>
            </w:r>
            <w:r w:rsidRPr="00A464CF">
              <w:rPr>
                <w:rFonts w:eastAsia="Calibri"/>
                <w:sz w:val="22"/>
                <w:szCs w:val="22"/>
                <w:vertAlign w:val="superscript"/>
                <w:lang w:eastAsia="en-US"/>
              </w:rPr>
              <w:footnoteReference w:id="13"/>
            </w:r>
            <w:r w:rsidRPr="00A464CF">
              <w:rPr>
                <w:rFonts w:eastAsia="Calibri"/>
                <w:sz w:val="22"/>
                <w:szCs w:val="22"/>
                <w:lang w:val="nl-NL" w:eastAsia="en-US"/>
              </w:rPr>
              <w:t xml:space="preserve">. Vốn chủ sở hữu đến cuối tháng 9/2020 đạt 1.021,79 nghìn tỷ đồng, tăng 71,77% so với cuối năm </w:t>
            </w:r>
            <w:r w:rsidRPr="00A464CF">
              <w:rPr>
                <w:rFonts w:eastAsia="Calibri"/>
                <w:sz w:val="22"/>
                <w:szCs w:val="22"/>
                <w:lang w:val="nl-NL" w:eastAsia="en-US"/>
              </w:rPr>
              <w:lastRenderedPageBreak/>
              <w:t xml:space="preserve">2016. Vốn điều lệ tăng nhanh, đến cuối tháng 9/2020 đạt </w:t>
            </w:r>
            <w:r w:rsidRPr="00A464CF">
              <w:rPr>
                <w:rFonts w:eastAsia="Arial"/>
                <w:bCs/>
                <w:sz w:val="22"/>
                <w:szCs w:val="22"/>
                <w:lang w:val="es-NI" w:eastAsia="en-US"/>
              </w:rPr>
              <w:t>637,34 nghìn tỷ đồng, tăng 30,5% so với cuối năm 2016</w:t>
            </w:r>
            <w:r w:rsidRPr="00A464CF">
              <w:rPr>
                <w:rFonts w:eastAsia="Calibri"/>
                <w:sz w:val="22"/>
                <w:szCs w:val="22"/>
                <w:lang w:val="nl-NL" w:eastAsia="en-US"/>
              </w:rPr>
              <w:t xml:space="preserve">. </w:t>
            </w:r>
          </w:p>
          <w:p w14:paraId="096EB050" w14:textId="77777777" w:rsidR="00DB1D87" w:rsidRPr="00A464CF" w:rsidRDefault="00DB1D87" w:rsidP="00DB1D87">
            <w:pPr>
              <w:widowControl w:val="0"/>
              <w:spacing w:before="120" w:after="120" w:line="264" w:lineRule="auto"/>
              <w:jc w:val="both"/>
              <w:rPr>
                <w:rFonts w:eastAsia="Calibri"/>
                <w:sz w:val="22"/>
                <w:szCs w:val="22"/>
                <w:lang w:val="da-DK" w:eastAsia="en-US"/>
              </w:rPr>
            </w:pPr>
            <w:r w:rsidRPr="00A464CF">
              <w:rPr>
                <w:rFonts w:eastAsia="Arial"/>
                <w:bCs/>
                <w:sz w:val="22"/>
                <w:szCs w:val="22"/>
                <w:lang w:val="da-DK" w:eastAsia="en-US"/>
              </w:rPr>
              <w:t>Việc triển khai Chuẩn mực vốn Basel II tiếp tục được tập trung thực hiện để đáp ứng thông lệ quốc tế về an toàn vốn.</w:t>
            </w:r>
            <w:r w:rsidRPr="00A464CF">
              <w:rPr>
                <w:rFonts w:eastAsia="Calibri"/>
                <w:sz w:val="22"/>
                <w:szCs w:val="22"/>
                <w:lang w:val="da-DK" w:eastAsia="en-US"/>
              </w:rPr>
              <w:t xml:space="preserve"> Nhằm hoàn thiện khuôn khổ pháp lý triển khai Basel II tại Việt Nam, NHNN đã ban hành Thông tư 41/2016/TT-NHNN ngày 30/12/2016 hướng dẫn về tỷ lệ an toàn vốn theo Phương pháp tiêu chuẩn của Basel II (hiệu lực từ 01/01/2020). </w:t>
            </w:r>
            <w:r w:rsidRPr="00A464CF">
              <w:rPr>
                <w:rFonts w:eastAsia="Arial"/>
                <w:bCs/>
                <w:sz w:val="22"/>
                <w:szCs w:val="22"/>
                <w:lang w:val="da-DK" w:eastAsia="en-US"/>
              </w:rPr>
              <w:t>Đến nay, hầu hết các TCTD đã áp dụng tỷ lệ an toàn vốn theo Thông tư số 41/2016/TT-NHNN</w:t>
            </w:r>
            <w:r w:rsidRPr="00A464CF">
              <w:rPr>
                <w:rFonts w:eastAsia="Arial"/>
                <w:bCs/>
                <w:sz w:val="22"/>
                <w:szCs w:val="22"/>
                <w:vertAlign w:val="superscript"/>
                <w:lang w:val="da-DK" w:eastAsia="en-US"/>
              </w:rPr>
              <w:footnoteReference w:id="14"/>
            </w:r>
            <w:r w:rsidRPr="00A464CF">
              <w:rPr>
                <w:rFonts w:eastAsia="Arial"/>
                <w:bCs/>
                <w:sz w:val="22"/>
                <w:szCs w:val="22"/>
                <w:lang w:val="da-DK" w:eastAsia="en-US"/>
              </w:rPr>
              <w:t xml:space="preserve">, còn một số TCTD đề nghị được áp dụng tỷ lệ an toàn vốn theo Thông tư số 22/2019/TT-NHNN. </w:t>
            </w:r>
            <w:r w:rsidRPr="00A464CF">
              <w:rPr>
                <w:rFonts w:eastAsia="Calibri"/>
                <w:sz w:val="22"/>
                <w:szCs w:val="22"/>
                <w:lang w:val="da-DK" w:eastAsia="en-US"/>
              </w:rPr>
              <w:t xml:space="preserve"> </w:t>
            </w:r>
          </w:p>
          <w:p w14:paraId="5A57658D" w14:textId="766E9A04" w:rsidR="00DB1D87" w:rsidRPr="00A464CF" w:rsidRDefault="00DB1D87" w:rsidP="00DB1D87">
            <w:pPr>
              <w:widowControl w:val="0"/>
              <w:jc w:val="both"/>
              <w:rPr>
                <w:rFonts w:eastAsia="Arial"/>
                <w:i/>
                <w:spacing w:val="-2"/>
                <w:lang w:val="it-IT"/>
              </w:rPr>
            </w:pPr>
            <w:r w:rsidRPr="00A464CF">
              <w:rPr>
                <w:rFonts w:eastAsia="Arial"/>
                <w:sz w:val="22"/>
                <w:szCs w:val="22"/>
                <w:lang w:val="sv-SE" w:eastAsia="en-US"/>
              </w:rPr>
              <w:t>Số cặp TCTD sở hữu chéo trực tiếp lẫn nhau đến nay đã được khắc phục (năm 2012: 7 cặp); sở hữu cổ phần trực tiếp lẫn nhau giữa ngân hàng và doanh nghiệp giảm, đến nay </w:t>
            </w:r>
            <w:r w:rsidRPr="00A464CF">
              <w:rPr>
                <w:rFonts w:eastAsia="Arial"/>
                <w:sz w:val="22"/>
                <w:szCs w:val="22"/>
                <w:lang w:val="nl-NL" w:eastAsia="en-US"/>
              </w:rPr>
              <w:t>còn 1 NHTMCP với 1 cặp sở hữu cổ phần lẫn nhau</w:t>
            </w:r>
            <w:r w:rsidRPr="00A464CF">
              <w:rPr>
                <w:rFonts w:eastAsia="Arial"/>
                <w:sz w:val="22"/>
                <w:szCs w:val="22"/>
                <w:vertAlign w:val="superscript"/>
                <w:lang w:val="nl-NL" w:eastAsia="en-US"/>
              </w:rPr>
              <w:footnoteReference w:id="15"/>
            </w:r>
            <w:r w:rsidRPr="00A464CF">
              <w:rPr>
                <w:rFonts w:eastAsia="Arial"/>
                <w:sz w:val="22"/>
                <w:szCs w:val="22"/>
                <w:lang w:val="nl-NL" w:eastAsia="en-US"/>
              </w:rPr>
              <w:t> </w:t>
            </w:r>
            <w:r w:rsidRPr="00A464CF">
              <w:rPr>
                <w:rFonts w:eastAsia="Arial"/>
                <w:sz w:val="22"/>
                <w:szCs w:val="22"/>
                <w:lang w:val="sv-SE" w:eastAsia="en-US"/>
              </w:rPr>
              <w:t>(tháng 6/2012: 56 cặp)</w:t>
            </w:r>
          </w:p>
          <w:p w14:paraId="329C14DC" w14:textId="0741AF11" w:rsidR="00DB1D87" w:rsidRPr="00A464CF" w:rsidRDefault="00DB1D87" w:rsidP="00DB1D87">
            <w:pPr>
              <w:jc w:val="both"/>
              <w:rPr>
                <w:rFonts w:eastAsia="Times New Roman"/>
                <w:sz w:val="22"/>
                <w:szCs w:val="22"/>
                <w:lang w:val="sv-SE"/>
              </w:rPr>
            </w:pPr>
          </w:p>
        </w:tc>
        <w:tc>
          <w:tcPr>
            <w:tcW w:w="1306" w:type="dxa"/>
            <w:shd w:val="clear" w:color="auto" w:fill="auto"/>
            <w:vAlign w:val="center"/>
            <w:hideMark/>
          </w:tcPr>
          <w:p w14:paraId="28D90CC5" w14:textId="77777777" w:rsidR="00DB1D87" w:rsidRPr="00A464CF" w:rsidRDefault="00DB1D87" w:rsidP="00DB1D87">
            <w:pPr>
              <w:rPr>
                <w:rFonts w:eastAsia="Times New Roman"/>
                <w:sz w:val="22"/>
                <w:szCs w:val="22"/>
                <w:lang w:val="sv-SE"/>
              </w:rPr>
            </w:pPr>
            <w:r w:rsidRPr="00A464CF">
              <w:rPr>
                <w:rFonts w:eastAsia="Times New Roman"/>
                <w:sz w:val="22"/>
                <w:szCs w:val="22"/>
                <w:lang w:val="sv-SE"/>
              </w:rPr>
              <w:lastRenderedPageBreak/>
              <w:t>Đã triển khai và có kết quả rõ ràng</w:t>
            </w:r>
          </w:p>
        </w:tc>
      </w:tr>
      <w:tr w:rsidR="00A464CF" w:rsidRPr="00A464CF" w14:paraId="0B4985C2" w14:textId="77777777" w:rsidTr="00AA2D1A">
        <w:trPr>
          <w:trHeight w:val="60"/>
        </w:trPr>
        <w:tc>
          <w:tcPr>
            <w:tcW w:w="708" w:type="dxa"/>
            <w:shd w:val="clear" w:color="auto" w:fill="auto"/>
            <w:noWrap/>
            <w:vAlign w:val="center"/>
            <w:hideMark/>
          </w:tcPr>
          <w:p w14:paraId="07D2F71A" w14:textId="77777777" w:rsidR="00DB1D87" w:rsidRPr="00A464CF" w:rsidRDefault="00DB1D87" w:rsidP="00DB1D87">
            <w:pPr>
              <w:jc w:val="center"/>
              <w:rPr>
                <w:rFonts w:eastAsia="Times New Roman"/>
                <w:sz w:val="22"/>
                <w:szCs w:val="22"/>
              </w:rPr>
            </w:pPr>
            <w:r w:rsidRPr="00A464CF">
              <w:rPr>
                <w:rFonts w:eastAsia="Times New Roman"/>
                <w:sz w:val="22"/>
                <w:szCs w:val="22"/>
              </w:rPr>
              <w:lastRenderedPageBreak/>
              <w:t>2</w:t>
            </w:r>
          </w:p>
        </w:tc>
        <w:tc>
          <w:tcPr>
            <w:tcW w:w="5378" w:type="dxa"/>
            <w:shd w:val="clear" w:color="auto" w:fill="auto"/>
            <w:vAlign w:val="center"/>
            <w:hideMark/>
          </w:tcPr>
          <w:p w14:paraId="435E6814" w14:textId="77777777" w:rsidR="00DB1D87" w:rsidRPr="00A464CF" w:rsidRDefault="00DB1D87" w:rsidP="00DB1D87">
            <w:pPr>
              <w:jc w:val="both"/>
              <w:rPr>
                <w:rFonts w:eastAsia="Times New Roman"/>
                <w:sz w:val="22"/>
                <w:szCs w:val="22"/>
              </w:rPr>
            </w:pPr>
            <w:r w:rsidRPr="00A464CF">
              <w:rPr>
                <w:rFonts w:eastAsia="Times New Roman"/>
                <w:sz w:val="22"/>
                <w:szCs w:val="22"/>
              </w:rPr>
              <w:t>Khẩn trương tổ chức thực hiện Đề án cơ cấu lại hệ thống tổ chức tín dụng gắn với xử lý nợ xấu giai đoạn 2016 - 2020 sau khi được phê duyệt</w:t>
            </w:r>
          </w:p>
        </w:tc>
        <w:tc>
          <w:tcPr>
            <w:tcW w:w="7771" w:type="dxa"/>
            <w:shd w:val="clear" w:color="auto" w:fill="auto"/>
            <w:vAlign w:val="center"/>
            <w:hideMark/>
          </w:tcPr>
          <w:p w14:paraId="17CB939F" w14:textId="7DE5C2C3" w:rsidR="00DB1D87" w:rsidRPr="00A464CF" w:rsidRDefault="00DB1D87" w:rsidP="00DB1D87">
            <w:pPr>
              <w:jc w:val="both"/>
              <w:rPr>
                <w:rFonts w:eastAsia="Times New Roman"/>
                <w:sz w:val="22"/>
                <w:szCs w:val="22"/>
              </w:rPr>
            </w:pPr>
            <w:r w:rsidRPr="00A464CF">
              <w:rPr>
                <w:rFonts w:eastAsia="Times New Roman"/>
              </w:rPr>
              <w:t>Thực hiện Quyết định số 1058/QĐ-TTg ngày 19/7/2017 của Thủ tướng Chính phủ về Cơ cấu lại hệ thống các TCTD gắn với xử lý nợ xấu giai đoạn 2016-2020, NHNN đã chủ động, tích cực triển khai các giải pháp để cơ cấu lại toàn diện các TCTD như nâng cao năng lực quản trị, điều hành, củng cố năng lực tài chính, tăng cường chất lượng tín dụng… Hoạt động của hệ thống các TCTD tiếp tục được duy trì ổn định, đóng góp tích cực cho sự phát triển kinh tế, xã hội.</w:t>
            </w:r>
          </w:p>
        </w:tc>
        <w:tc>
          <w:tcPr>
            <w:tcW w:w="1306" w:type="dxa"/>
            <w:shd w:val="clear" w:color="auto" w:fill="auto"/>
            <w:vAlign w:val="center"/>
            <w:hideMark/>
          </w:tcPr>
          <w:p w14:paraId="77EAF1C2"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rõ ràng</w:t>
            </w:r>
          </w:p>
        </w:tc>
      </w:tr>
      <w:tr w:rsidR="00A464CF" w:rsidRPr="00A464CF" w14:paraId="4476FAD5" w14:textId="77777777" w:rsidTr="00AA2D1A">
        <w:trPr>
          <w:trHeight w:val="1201"/>
        </w:trPr>
        <w:tc>
          <w:tcPr>
            <w:tcW w:w="708" w:type="dxa"/>
            <w:shd w:val="clear" w:color="auto" w:fill="auto"/>
            <w:noWrap/>
            <w:vAlign w:val="center"/>
            <w:hideMark/>
          </w:tcPr>
          <w:p w14:paraId="1E9D14B5" w14:textId="77777777" w:rsidR="00DB1D87" w:rsidRPr="00A464CF" w:rsidRDefault="00DB1D87" w:rsidP="00DB1D87">
            <w:pPr>
              <w:jc w:val="center"/>
              <w:rPr>
                <w:rFonts w:eastAsia="Times New Roman"/>
                <w:sz w:val="22"/>
                <w:szCs w:val="22"/>
              </w:rPr>
            </w:pPr>
            <w:r w:rsidRPr="00A464CF">
              <w:rPr>
                <w:rFonts w:eastAsia="Times New Roman"/>
                <w:sz w:val="22"/>
                <w:szCs w:val="22"/>
              </w:rPr>
              <w:t>3</w:t>
            </w:r>
          </w:p>
        </w:tc>
        <w:tc>
          <w:tcPr>
            <w:tcW w:w="5378" w:type="dxa"/>
            <w:shd w:val="clear" w:color="auto" w:fill="auto"/>
            <w:vAlign w:val="center"/>
            <w:hideMark/>
          </w:tcPr>
          <w:p w14:paraId="0B302432" w14:textId="77777777" w:rsidR="00DB1D87" w:rsidRPr="00A464CF" w:rsidRDefault="00DB1D87" w:rsidP="00DB1D87">
            <w:pPr>
              <w:jc w:val="both"/>
              <w:rPr>
                <w:rFonts w:eastAsia="Times New Roman"/>
                <w:sz w:val="22"/>
                <w:szCs w:val="22"/>
              </w:rPr>
            </w:pPr>
            <w:r w:rsidRPr="00A464CF">
              <w:rPr>
                <w:rFonts w:eastAsia="Times New Roman"/>
                <w:sz w:val="22"/>
                <w:szCs w:val="22"/>
              </w:rPr>
              <w:t>Hoàn thành cơ bản việc cơ cấu lại các tổ chức tín dụng, đẩy nhanh quá trình xử lý nợ xấu bằng các hình thức phù hợp với cơ chế thị trường trên nguyên tắc thận trọng, bảo đảm quyền lợi của người gửi tiền và ổn định, an toàn hệ thống</w:t>
            </w:r>
          </w:p>
        </w:tc>
        <w:tc>
          <w:tcPr>
            <w:tcW w:w="7771" w:type="dxa"/>
            <w:shd w:val="clear" w:color="auto" w:fill="auto"/>
            <w:vAlign w:val="center"/>
            <w:hideMark/>
          </w:tcPr>
          <w:p w14:paraId="58511568" w14:textId="1DAA8380" w:rsidR="00DB1D87" w:rsidRPr="00A464CF" w:rsidRDefault="00DB1D87" w:rsidP="00DB1D87">
            <w:pPr>
              <w:jc w:val="both"/>
              <w:rPr>
                <w:rFonts w:eastAsia="Times New Roman"/>
              </w:rPr>
            </w:pPr>
            <w:r w:rsidRPr="00A464CF">
              <w:rPr>
                <w:rFonts w:eastAsia="Times New Roman"/>
                <w:lang w:val="nl-NL"/>
              </w:rPr>
              <w:t>Giai đoạn từ 2016 đến thời điểm 30/9/2020, hệ thống TCTD đã xử lý được 646,02 nghìn tỷ đồng</w:t>
            </w:r>
            <w:r w:rsidRPr="00A464CF">
              <w:rPr>
                <w:rFonts w:eastAsia="Times New Roman"/>
                <w:vertAlign w:val="superscript"/>
              </w:rPr>
              <w:footnoteReference w:id="16"/>
            </w:r>
            <w:r w:rsidRPr="00A464CF">
              <w:rPr>
                <w:rFonts w:eastAsia="Times New Roman"/>
                <w:vertAlign w:val="superscript"/>
                <w:lang w:val="nl-NL"/>
              </w:rPr>
              <w:t>,</w:t>
            </w:r>
            <w:r w:rsidRPr="00A464CF">
              <w:rPr>
                <w:rFonts w:eastAsia="Times New Roman"/>
                <w:vertAlign w:val="superscript"/>
              </w:rPr>
              <w:footnoteReference w:id="17"/>
            </w:r>
            <w:r w:rsidRPr="00A464CF">
              <w:rPr>
                <w:rFonts w:eastAsia="Times New Roman"/>
                <w:lang w:val="nl-NL"/>
              </w:rPr>
              <w:t xml:space="preserve">. </w:t>
            </w:r>
            <w:r w:rsidRPr="00A464CF">
              <w:rPr>
                <w:rFonts w:eastAsia="Times New Roman"/>
                <w:bCs/>
                <w:lang w:val="sv-SE"/>
              </w:rPr>
              <w:t xml:space="preserve">Lũy kế từ 15/8/2017 đến cuối tháng 9/2020, cả hệ thống TCTD đã xử lý được </w:t>
            </w:r>
            <w:r w:rsidRPr="00A464CF">
              <w:rPr>
                <w:rFonts w:eastAsia="Times New Roman"/>
                <w:lang w:val="it-IT"/>
              </w:rPr>
              <w:t>312,26</w:t>
            </w:r>
            <w:r w:rsidRPr="00A464CF">
              <w:rPr>
                <w:rFonts w:eastAsia="Times New Roman"/>
                <w:bCs/>
                <w:lang w:val="sv-SE"/>
              </w:rPr>
              <w:t xml:space="preserve"> nghìn tỷ đồng nợ xấu xác định theo Nghị quyết 42</w:t>
            </w:r>
            <w:r w:rsidRPr="00A464CF">
              <w:rPr>
                <w:rFonts w:eastAsia="Times New Roman"/>
                <w:bCs/>
                <w:vertAlign w:val="superscript"/>
                <w:lang w:val="sv-SE"/>
              </w:rPr>
              <w:footnoteReference w:id="18"/>
            </w:r>
            <w:r w:rsidRPr="00A464CF">
              <w:rPr>
                <w:rFonts w:eastAsia="Times New Roman"/>
                <w:bCs/>
                <w:lang w:val="sv-SE"/>
              </w:rPr>
              <w:t>.</w:t>
            </w:r>
          </w:p>
          <w:p w14:paraId="50E94DBB" w14:textId="10B525B2" w:rsidR="00DB1D87" w:rsidRPr="00A464CF" w:rsidRDefault="00DB1D87" w:rsidP="00DB1D87">
            <w:pPr>
              <w:jc w:val="both"/>
              <w:rPr>
                <w:rFonts w:eastAsia="Times New Roman"/>
                <w:sz w:val="22"/>
                <w:szCs w:val="22"/>
              </w:rPr>
            </w:pPr>
          </w:p>
        </w:tc>
        <w:tc>
          <w:tcPr>
            <w:tcW w:w="1306" w:type="dxa"/>
            <w:shd w:val="clear" w:color="auto" w:fill="auto"/>
            <w:vAlign w:val="center"/>
            <w:hideMark/>
          </w:tcPr>
          <w:p w14:paraId="2157E849"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rõ ràng</w:t>
            </w:r>
          </w:p>
        </w:tc>
      </w:tr>
      <w:tr w:rsidR="00A464CF" w:rsidRPr="00A464CF" w14:paraId="3A2D738E" w14:textId="77777777" w:rsidTr="00AA2D1A">
        <w:trPr>
          <w:trHeight w:val="693"/>
        </w:trPr>
        <w:tc>
          <w:tcPr>
            <w:tcW w:w="708" w:type="dxa"/>
            <w:shd w:val="clear" w:color="auto" w:fill="auto"/>
            <w:noWrap/>
            <w:vAlign w:val="center"/>
            <w:hideMark/>
          </w:tcPr>
          <w:p w14:paraId="23818DB4" w14:textId="77777777" w:rsidR="00DB1D87" w:rsidRPr="00A464CF" w:rsidRDefault="00DB1D87" w:rsidP="00DB1D87">
            <w:pPr>
              <w:jc w:val="center"/>
              <w:rPr>
                <w:rFonts w:eastAsia="Times New Roman"/>
                <w:sz w:val="22"/>
                <w:szCs w:val="22"/>
              </w:rPr>
            </w:pPr>
            <w:r w:rsidRPr="00A464CF">
              <w:rPr>
                <w:rFonts w:eastAsia="Times New Roman"/>
                <w:sz w:val="22"/>
                <w:szCs w:val="22"/>
              </w:rPr>
              <w:lastRenderedPageBreak/>
              <w:t>4</w:t>
            </w:r>
          </w:p>
        </w:tc>
        <w:tc>
          <w:tcPr>
            <w:tcW w:w="5378" w:type="dxa"/>
            <w:shd w:val="clear" w:color="auto" w:fill="auto"/>
            <w:vAlign w:val="center"/>
            <w:hideMark/>
          </w:tcPr>
          <w:p w14:paraId="3C260171" w14:textId="77777777" w:rsidR="00DB1D87" w:rsidRPr="00A464CF" w:rsidRDefault="00DB1D87" w:rsidP="00DB1D87">
            <w:pPr>
              <w:jc w:val="both"/>
              <w:rPr>
                <w:rFonts w:eastAsia="Times New Roman"/>
                <w:sz w:val="22"/>
                <w:szCs w:val="22"/>
              </w:rPr>
            </w:pPr>
            <w:r w:rsidRPr="00A464CF">
              <w:rPr>
                <w:rFonts w:eastAsia="Times New Roman"/>
                <w:sz w:val="22"/>
                <w:szCs w:val="22"/>
              </w:rPr>
              <w:t>Xây dựng Luật cơ cấu lại tổ chức tín dụng và xử lý nợ cấu trong năm 2017</w:t>
            </w:r>
          </w:p>
        </w:tc>
        <w:tc>
          <w:tcPr>
            <w:tcW w:w="7771" w:type="dxa"/>
            <w:shd w:val="clear" w:color="auto" w:fill="auto"/>
            <w:vAlign w:val="center"/>
            <w:hideMark/>
          </w:tcPr>
          <w:p w14:paraId="191217BB" w14:textId="04E18B6B" w:rsidR="00DB1D87" w:rsidRPr="00A464CF" w:rsidRDefault="00DB1D87" w:rsidP="00DB1D87">
            <w:pPr>
              <w:jc w:val="both"/>
              <w:rPr>
                <w:rFonts w:eastAsia="Times New Roman"/>
                <w:sz w:val="22"/>
                <w:szCs w:val="22"/>
              </w:rPr>
            </w:pPr>
            <w:r w:rsidRPr="00A464CF">
              <w:rPr>
                <w:rFonts w:eastAsia="Times New Roman"/>
              </w:rPr>
              <w:t>Quốc hội đã ban hành Luật Sửa đổi, bổ sung một số điều của Luật Các tổ chức tín dụng (Luật số 17/2017/QH14) và Nghị quyết số 42/2017/QH14 ngày 21/6/2017 về xử lý nợ xấu của các TCTD</w:t>
            </w:r>
          </w:p>
        </w:tc>
        <w:tc>
          <w:tcPr>
            <w:tcW w:w="1306" w:type="dxa"/>
            <w:shd w:val="clear" w:color="auto" w:fill="auto"/>
            <w:vAlign w:val="center"/>
            <w:hideMark/>
          </w:tcPr>
          <w:p w14:paraId="662525F1"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rõ ràng</w:t>
            </w:r>
          </w:p>
        </w:tc>
      </w:tr>
      <w:tr w:rsidR="00A464CF" w:rsidRPr="00A464CF" w14:paraId="6A18CE6C" w14:textId="77777777" w:rsidTr="00AA2D1A">
        <w:trPr>
          <w:trHeight w:val="1161"/>
        </w:trPr>
        <w:tc>
          <w:tcPr>
            <w:tcW w:w="708" w:type="dxa"/>
            <w:shd w:val="clear" w:color="auto" w:fill="auto"/>
            <w:noWrap/>
            <w:vAlign w:val="center"/>
            <w:hideMark/>
          </w:tcPr>
          <w:p w14:paraId="7CB6E2BA" w14:textId="77777777" w:rsidR="00DB1D87" w:rsidRPr="00A464CF" w:rsidRDefault="00DB1D87" w:rsidP="00DB1D87">
            <w:pPr>
              <w:jc w:val="center"/>
              <w:rPr>
                <w:rFonts w:eastAsia="Times New Roman"/>
                <w:sz w:val="22"/>
                <w:szCs w:val="22"/>
              </w:rPr>
            </w:pPr>
            <w:r w:rsidRPr="00A464CF">
              <w:rPr>
                <w:rFonts w:eastAsia="Times New Roman"/>
                <w:sz w:val="22"/>
                <w:szCs w:val="22"/>
              </w:rPr>
              <w:t>5</w:t>
            </w:r>
          </w:p>
        </w:tc>
        <w:tc>
          <w:tcPr>
            <w:tcW w:w="5378" w:type="dxa"/>
            <w:shd w:val="clear" w:color="auto" w:fill="auto"/>
            <w:vAlign w:val="center"/>
            <w:hideMark/>
          </w:tcPr>
          <w:p w14:paraId="0F24F91A" w14:textId="77777777" w:rsidR="00DB1D87" w:rsidRPr="00A464CF" w:rsidRDefault="00DB1D87" w:rsidP="00DB1D87">
            <w:pPr>
              <w:jc w:val="both"/>
              <w:rPr>
                <w:rFonts w:eastAsia="Times New Roman"/>
                <w:sz w:val="22"/>
                <w:szCs w:val="22"/>
              </w:rPr>
            </w:pPr>
            <w:r w:rsidRPr="00A464CF">
              <w:rPr>
                <w:rFonts w:eastAsia="Times New Roman"/>
                <w:sz w:val="22"/>
                <w:szCs w:val="22"/>
              </w:rPr>
              <w:t>Tăng cường thanh tra, giám sát quản trị rủi ro các tổ chức tín dụng</w:t>
            </w:r>
          </w:p>
        </w:tc>
        <w:tc>
          <w:tcPr>
            <w:tcW w:w="7771" w:type="dxa"/>
            <w:shd w:val="clear" w:color="auto" w:fill="auto"/>
            <w:vAlign w:val="bottom"/>
            <w:hideMark/>
          </w:tcPr>
          <w:p w14:paraId="14EB5AAF" w14:textId="77777777" w:rsidR="00DB1D87" w:rsidRPr="00A464CF" w:rsidRDefault="00DB1D87" w:rsidP="00DB1D87">
            <w:pPr>
              <w:jc w:val="both"/>
              <w:rPr>
                <w:rFonts w:eastAsia="Times New Roman"/>
              </w:rPr>
            </w:pPr>
            <w:r w:rsidRPr="00A464CF">
              <w:rPr>
                <w:rFonts w:eastAsia="Times New Roman"/>
              </w:rPr>
              <w:t xml:space="preserve">NHNN tiếp tục tăng cường công tác thanh tra, kiểm tra, ngăn chặn, phát hiện và xử lý kiên quyết các rủi ro, tồn tại và sai phạm của TCTD, góp phần quan trọng thúc đẩy các TCTD triển khai nghiêm túc, có hiệu quả </w:t>
            </w:r>
            <w:bookmarkStart w:id="1" w:name="_Hlk14375657"/>
            <w:r w:rsidRPr="00A464CF">
              <w:rPr>
                <w:rFonts w:eastAsia="Times New Roman"/>
              </w:rPr>
              <w:t xml:space="preserve">Quyết định số 1058/QĐ-TTg </w:t>
            </w:r>
            <w:bookmarkEnd w:id="1"/>
            <w:r w:rsidRPr="00A464CF">
              <w:rPr>
                <w:rFonts w:eastAsia="Times New Roman"/>
              </w:rPr>
              <w:t xml:space="preserve">và Nghị quyết số 42/2017/QH14, bảo đảm an ninh, kỷ luật trên thị trường tiền tệ - ngân hàng. Công tác thanh tra tiếp tục được đổi mới theo hướng thanh tra pháp nhân, gắn kết chặt chẽ với công tác giám sát, từng bước kết hợp và áp dụng phương pháp thanh tra trên cơ sở rủi ro, hướng tới ngăn chặn, cảnh báo sớm các rủi ro có khả năng phát sinh thay vì xử lý sai phạm đã xảy ra. Công tác giám sát ngân hàng tiếp tục được đổi mới và tăng cường trên cơ sở hoàn thiện, triển khai các công cụ, phương pháp giám sát mới gắn liền với đẩy mạnh ứng dụng công nghệ thông tin, phát triển cơ sở dữ liệu và hệ thống tiêu chí giám sát nhằm nâng cao khả năng cảnh báo sớm của NHNN đối với những rủi ro tiềm ẩn mang tính hệ thống và ngăn ngừa nguy cơ vi phạm pháp luật ngân hàng của các TCTD. </w:t>
            </w:r>
          </w:p>
          <w:p w14:paraId="187513EB" w14:textId="43865EB0" w:rsidR="00DB1D87" w:rsidRPr="00A464CF" w:rsidRDefault="00DB1D87" w:rsidP="00DB1D87">
            <w:pPr>
              <w:jc w:val="both"/>
              <w:rPr>
                <w:rFonts w:eastAsia="Times New Roman"/>
                <w:sz w:val="22"/>
                <w:szCs w:val="22"/>
              </w:rPr>
            </w:pPr>
          </w:p>
        </w:tc>
        <w:tc>
          <w:tcPr>
            <w:tcW w:w="1306" w:type="dxa"/>
            <w:shd w:val="clear" w:color="auto" w:fill="auto"/>
            <w:vAlign w:val="center"/>
            <w:hideMark/>
          </w:tcPr>
          <w:p w14:paraId="5E89DE0F" w14:textId="4EE0001B" w:rsidR="00DB1D87" w:rsidRPr="00A464CF" w:rsidRDefault="00DB1D87" w:rsidP="00DB1D87">
            <w:pPr>
              <w:rPr>
                <w:rFonts w:eastAsia="Times New Roman"/>
                <w:sz w:val="22"/>
                <w:szCs w:val="22"/>
              </w:rPr>
            </w:pPr>
            <w:r w:rsidRPr="00A464CF">
              <w:rPr>
                <w:rFonts w:eastAsia="Times New Roman"/>
                <w:sz w:val="22"/>
                <w:szCs w:val="22"/>
              </w:rPr>
              <w:t>Đang triển khai và có kết quả rõ ràng</w:t>
            </w:r>
          </w:p>
        </w:tc>
      </w:tr>
      <w:tr w:rsidR="00A464CF" w:rsidRPr="00A464CF" w14:paraId="31BC2FB1" w14:textId="77777777" w:rsidTr="00AA2D1A">
        <w:trPr>
          <w:trHeight w:val="1221"/>
        </w:trPr>
        <w:tc>
          <w:tcPr>
            <w:tcW w:w="708" w:type="dxa"/>
            <w:shd w:val="clear" w:color="auto" w:fill="auto"/>
            <w:noWrap/>
            <w:vAlign w:val="center"/>
            <w:hideMark/>
          </w:tcPr>
          <w:p w14:paraId="54B3F16E" w14:textId="77777777" w:rsidR="00DB1D87" w:rsidRPr="00A464CF" w:rsidRDefault="00DB1D87" w:rsidP="00DB1D87">
            <w:pPr>
              <w:jc w:val="center"/>
              <w:rPr>
                <w:rFonts w:eastAsia="Times New Roman"/>
                <w:sz w:val="22"/>
                <w:szCs w:val="22"/>
              </w:rPr>
            </w:pPr>
            <w:r w:rsidRPr="00A464CF">
              <w:rPr>
                <w:rFonts w:eastAsia="Times New Roman"/>
                <w:sz w:val="22"/>
                <w:szCs w:val="22"/>
              </w:rPr>
              <w:t>6</w:t>
            </w:r>
          </w:p>
        </w:tc>
        <w:tc>
          <w:tcPr>
            <w:tcW w:w="5378" w:type="dxa"/>
            <w:shd w:val="clear" w:color="auto" w:fill="auto"/>
            <w:vAlign w:val="center"/>
            <w:hideMark/>
          </w:tcPr>
          <w:p w14:paraId="1641EDE4" w14:textId="77777777" w:rsidR="00DB1D87" w:rsidRPr="00A464CF" w:rsidRDefault="00DB1D87" w:rsidP="00DB1D87">
            <w:pPr>
              <w:jc w:val="both"/>
              <w:rPr>
                <w:rFonts w:eastAsia="Times New Roman"/>
                <w:sz w:val="22"/>
                <w:szCs w:val="22"/>
              </w:rPr>
            </w:pPr>
            <w:r w:rsidRPr="00A464CF">
              <w:rPr>
                <w:rFonts w:eastAsia="Times New Roman"/>
                <w:sz w:val="22"/>
                <w:szCs w:val="22"/>
              </w:rPr>
              <w:t>Nghiên cứu, hoàn thiện các văn bản hướng dẫn trình tự, thủ tục bán đấu giá tài sản phù hợp với quy định của pháp luật có liên quan</w:t>
            </w:r>
          </w:p>
        </w:tc>
        <w:tc>
          <w:tcPr>
            <w:tcW w:w="7771" w:type="dxa"/>
            <w:shd w:val="clear" w:color="auto" w:fill="auto"/>
            <w:vAlign w:val="center"/>
            <w:hideMark/>
          </w:tcPr>
          <w:p w14:paraId="7A501100" w14:textId="77777777" w:rsidR="00DB1D87" w:rsidRPr="00A464CF" w:rsidRDefault="00DB1D87" w:rsidP="00DB1D87">
            <w:pPr>
              <w:jc w:val="both"/>
              <w:rPr>
                <w:rFonts w:eastAsia="Times New Roman"/>
                <w:sz w:val="22"/>
                <w:szCs w:val="22"/>
              </w:rPr>
            </w:pPr>
            <w:r w:rsidRPr="00A464CF">
              <w:rPr>
                <w:rFonts w:eastAsia="Times New Roman"/>
                <w:sz w:val="22"/>
                <w:szCs w:val="22"/>
              </w:rPr>
              <w:t>Quốc hội đã ban hành Luật Đấu giá tài sản. Bộ Tư pháp đã xây dựng, trình Chính phủ ban hành Nghị định số 62/2017/NĐ-CP ngày 16/5/2017 quy định chi tiết thi hành một số điều của Luật Đấu giá tài sản và ban hành theo thẩm quyền Thông tư số 06/2017/TT-BTP ngày 16/5/2017 quy định về chương trình khung của khóa đào tạo nghề đấu giá, cơ sở đào tạo nghề đấu giá, việc tập sự và kiểm tra tập sự, kết quả tập sự hành nghề đấu giá và biểu mẫu trong lĩnh vực đấu giá tài sản.</w:t>
            </w:r>
          </w:p>
        </w:tc>
        <w:tc>
          <w:tcPr>
            <w:tcW w:w="1306" w:type="dxa"/>
            <w:shd w:val="clear" w:color="auto" w:fill="auto"/>
            <w:vAlign w:val="center"/>
            <w:hideMark/>
          </w:tcPr>
          <w:p w14:paraId="6CA930A6" w14:textId="77777777" w:rsidR="00DB1D87" w:rsidRPr="00A464CF" w:rsidRDefault="00DB1D87" w:rsidP="00DB1D87">
            <w:pPr>
              <w:rPr>
                <w:rFonts w:eastAsia="Times New Roman"/>
                <w:sz w:val="22"/>
                <w:szCs w:val="22"/>
              </w:rPr>
            </w:pPr>
            <w:r w:rsidRPr="00A464CF">
              <w:rPr>
                <w:rFonts w:eastAsia="Times New Roman"/>
                <w:sz w:val="22"/>
                <w:szCs w:val="22"/>
              </w:rPr>
              <w:t>Đang triển khai và có kết quả bước đầu</w:t>
            </w:r>
          </w:p>
        </w:tc>
      </w:tr>
      <w:tr w:rsidR="00A464CF" w:rsidRPr="00A464CF" w14:paraId="15D853B5" w14:textId="77777777" w:rsidTr="00AA2D1A">
        <w:trPr>
          <w:trHeight w:val="3110"/>
        </w:trPr>
        <w:tc>
          <w:tcPr>
            <w:tcW w:w="708" w:type="dxa"/>
            <w:shd w:val="clear" w:color="auto" w:fill="auto"/>
            <w:noWrap/>
            <w:vAlign w:val="center"/>
            <w:hideMark/>
          </w:tcPr>
          <w:p w14:paraId="1B7E559F" w14:textId="77777777" w:rsidR="00DB1D87" w:rsidRPr="00A464CF" w:rsidRDefault="00DB1D87" w:rsidP="00DB1D87">
            <w:pPr>
              <w:jc w:val="center"/>
              <w:rPr>
                <w:rFonts w:eastAsia="Times New Roman"/>
                <w:sz w:val="22"/>
                <w:szCs w:val="22"/>
              </w:rPr>
            </w:pPr>
            <w:r w:rsidRPr="00A464CF">
              <w:rPr>
                <w:rFonts w:eastAsia="Times New Roman"/>
                <w:sz w:val="22"/>
                <w:szCs w:val="22"/>
              </w:rPr>
              <w:lastRenderedPageBreak/>
              <w:t>7</w:t>
            </w:r>
          </w:p>
        </w:tc>
        <w:tc>
          <w:tcPr>
            <w:tcW w:w="5378" w:type="dxa"/>
            <w:shd w:val="clear" w:color="auto" w:fill="auto"/>
            <w:vAlign w:val="center"/>
            <w:hideMark/>
          </w:tcPr>
          <w:p w14:paraId="58A770B4" w14:textId="77777777" w:rsidR="00DB1D87" w:rsidRPr="00A464CF" w:rsidRDefault="00DB1D87" w:rsidP="00DB1D87">
            <w:pPr>
              <w:jc w:val="both"/>
              <w:rPr>
                <w:rFonts w:eastAsia="Times New Roman"/>
                <w:sz w:val="22"/>
                <w:szCs w:val="22"/>
              </w:rPr>
            </w:pPr>
            <w:r w:rsidRPr="00A464CF">
              <w:rPr>
                <w:rFonts w:eastAsia="Times New Roman"/>
                <w:sz w:val="22"/>
                <w:szCs w:val="22"/>
              </w:rPr>
              <w:t>Đảm bảo phối hợp giữa cơ quan thi hành án dân sự các cấp với Công ty quản lý tài sản của các tổ chức tín dụng (VAMC) và các tổ chức tín dụng trong quá trình thi hành bản án, quyết định của Tòa án về xử lý tài sản bảo đảm; phối hợp giữa Tổng cục thi hành án dân sự với các tổ chức tín dụng rà soát, tổng hợp các bản án, quyết định có hiệu lực của Tòa án chưa được thi hành hoặc đang được thi hành dở dang, đẩy nhanh thi hành án các vụ án còn tồn đọng</w:t>
            </w:r>
          </w:p>
        </w:tc>
        <w:tc>
          <w:tcPr>
            <w:tcW w:w="7771" w:type="dxa"/>
            <w:shd w:val="clear" w:color="auto" w:fill="auto"/>
            <w:vAlign w:val="center"/>
            <w:hideMark/>
          </w:tcPr>
          <w:p w14:paraId="4FB18E20" w14:textId="77777777" w:rsidR="00BA3835" w:rsidRPr="00A464CF" w:rsidRDefault="00DB1D87" w:rsidP="00DB1D87">
            <w:pPr>
              <w:jc w:val="both"/>
              <w:rPr>
                <w:rFonts w:eastAsia="Times New Roman"/>
                <w:sz w:val="22"/>
                <w:szCs w:val="22"/>
              </w:rPr>
            </w:pPr>
            <w:r w:rsidRPr="00A464CF">
              <w:rPr>
                <w:rFonts w:eastAsia="Times New Roman"/>
                <w:sz w:val="22"/>
                <w:szCs w:val="22"/>
              </w:rPr>
              <w:t xml:space="preserve">Bộ Tư pháp đã phối hợp với VAMC tháo gỡ khó khăn, hướng dẫn nghiệp vụ cho các cơ quan thi hành án dân sự địa phương và trả lời các kiến nghị, phản ánh của các tổ chức tín dụng về nội dung liên quan đến nghiệp vụ thi hành án dân sự, nhất là xử lý tài sản đảm bảo. </w:t>
            </w:r>
          </w:p>
          <w:p w14:paraId="567199F7" w14:textId="445C6CC8" w:rsidR="00BA3835" w:rsidRPr="00A464CF" w:rsidRDefault="00DB1D87" w:rsidP="00DB1D87">
            <w:pPr>
              <w:jc w:val="both"/>
              <w:rPr>
                <w:rFonts w:eastAsia="Times New Roman"/>
                <w:sz w:val="22"/>
                <w:szCs w:val="22"/>
              </w:rPr>
            </w:pPr>
            <w:r w:rsidRPr="00A464CF">
              <w:rPr>
                <w:rFonts w:eastAsia="Times New Roman"/>
                <w:sz w:val="22"/>
                <w:szCs w:val="22"/>
              </w:rPr>
              <w:t xml:space="preserve">Tổng cục Thi hành án dân sự đã ban hành nhiều văn bản hướng dẫn để áp dụng trên toàn quốc đối với một số trường hợp phổ biến. Bộ tiếp tục phối hợp với Tòa án nhân dân tối cao tổng hợp bản án, quyết định có hiệu lực của Tòa án chưa được thi hành, đẩy nhanh thi hành các vụ án còn tồn đọng. Tuy nhiên do có một số vụ việc chưa xử lý được tài sản; số án có giá trị thi hành lớn thụ lý vào dịp cuối năm tăng, một số việc phức tạp khó giải quyết nên chỉ tiêu giảm số tiền chuyển kỳ sau không đạt chỉ tiêu giao. </w:t>
            </w:r>
          </w:p>
          <w:p w14:paraId="28C610E5" w14:textId="2F147979" w:rsidR="00BA3835" w:rsidRPr="00A464CF" w:rsidRDefault="00BA3835" w:rsidP="00DB1D87">
            <w:pPr>
              <w:jc w:val="both"/>
              <w:rPr>
                <w:rFonts w:eastAsia="Times New Roman"/>
                <w:sz w:val="22"/>
                <w:szCs w:val="22"/>
              </w:rPr>
            </w:pPr>
            <w:r w:rsidRPr="00A464CF">
              <w:rPr>
                <w:rFonts w:eastAsia="Times New Roman"/>
                <w:sz w:val="22"/>
                <w:szCs w:val="22"/>
                <w:lang w:val="pt-BR"/>
              </w:rPr>
              <w:t>Mặc dù Hội đồng thẩm phán Tòa án Nhân dân tối cao đã ban hành văn bản hướng dẫn áp dụng thủ tục rút gọn trong giải quyết tranh chấp về nghĩa vụ giao tài sản đảm bảo, tranh chấp về quyền xử lý tài sản bảo đảm của khoản nợ xấu của TCTD, tổ chức mua bán và xử lý nợ xấu. Tuy nhiên, hiện nay số lượng các vụ việc xử lý nợ xấu thông qua thủ tục rút gọn tại Tòa án còn rất hạn chế, điều này phần nào ảnh hưởng đến kết quả xử lý nợ xấu nói chung, cũng như hiệu quả của biện pháp xử lý nợ xấu tại Nghị quyết số 42 nói riêng.</w:t>
            </w:r>
          </w:p>
          <w:p w14:paraId="2A9B8F38" w14:textId="6D0AE7F5" w:rsidR="00DB1D87" w:rsidRPr="00A464CF" w:rsidRDefault="00DB1D87" w:rsidP="00DB1D87">
            <w:pPr>
              <w:jc w:val="both"/>
              <w:rPr>
                <w:rFonts w:eastAsia="Times New Roman"/>
                <w:sz w:val="22"/>
                <w:szCs w:val="22"/>
              </w:rPr>
            </w:pPr>
            <w:r w:rsidRPr="00A464CF">
              <w:rPr>
                <w:rFonts w:eastAsia="Times New Roman"/>
                <w:sz w:val="22"/>
                <w:szCs w:val="22"/>
              </w:rPr>
              <w:t>Kết quả tổ chức thi hành các vụ việc liên quan đến tín dụng ngân hàng tuy có tăng về mặt số học nhưng tỉ lệ giải quyết xong trên số có điều kiện thi hành đạt thấp; số lượng việc tồn đọng vẫn còn nhiều, thời gian thi hành án còn kéo dài. Công tác phối hợp giữa cơ quan thi hành án dân sự, Chấp hành viên với một số tổ chức tín dụng, ngân hàng trong việc xác minh điều kiện thi hành án, phối hợp giải quyết thi hành án đôi lúc chưa chặt chẽ, kịp thời và hiệu quả.</w:t>
            </w:r>
          </w:p>
        </w:tc>
        <w:tc>
          <w:tcPr>
            <w:tcW w:w="1306" w:type="dxa"/>
            <w:shd w:val="clear" w:color="auto" w:fill="auto"/>
            <w:vAlign w:val="center"/>
            <w:hideMark/>
          </w:tcPr>
          <w:p w14:paraId="2CD22B6A" w14:textId="77777777" w:rsidR="00DB1D87" w:rsidRPr="00A464CF" w:rsidRDefault="00DB1D87" w:rsidP="00DB1D87">
            <w:pPr>
              <w:rPr>
                <w:rFonts w:eastAsia="Times New Roman"/>
                <w:sz w:val="22"/>
                <w:szCs w:val="22"/>
              </w:rPr>
            </w:pPr>
            <w:r w:rsidRPr="00A464CF">
              <w:rPr>
                <w:rFonts w:eastAsia="Times New Roman"/>
                <w:sz w:val="22"/>
                <w:szCs w:val="22"/>
              </w:rPr>
              <w:t>Đang triển khai và có kết quả bước đầu</w:t>
            </w:r>
          </w:p>
        </w:tc>
      </w:tr>
      <w:tr w:rsidR="00A464CF" w:rsidRPr="00A464CF" w14:paraId="70B797A7" w14:textId="77777777" w:rsidTr="00AA2D1A">
        <w:trPr>
          <w:trHeight w:val="345"/>
        </w:trPr>
        <w:tc>
          <w:tcPr>
            <w:tcW w:w="708" w:type="dxa"/>
            <w:shd w:val="clear" w:color="auto" w:fill="auto"/>
            <w:noWrap/>
            <w:vAlign w:val="center"/>
            <w:hideMark/>
          </w:tcPr>
          <w:p w14:paraId="27100432" w14:textId="77777777" w:rsidR="00DB1D87" w:rsidRPr="00A464CF" w:rsidRDefault="00DB1D87" w:rsidP="00DB1D87">
            <w:pPr>
              <w:jc w:val="center"/>
              <w:rPr>
                <w:rFonts w:eastAsia="Times New Roman"/>
                <w:b/>
                <w:bCs/>
                <w:sz w:val="22"/>
                <w:szCs w:val="22"/>
              </w:rPr>
            </w:pPr>
            <w:r w:rsidRPr="00A464CF">
              <w:rPr>
                <w:rFonts w:eastAsia="Times New Roman"/>
                <w:b/>
                <w:bCs/>
                <w:sz w:val="22"/>
                <w:szCs w:val="22"/>
              </w:rPr>
              <w:t>VIII</w:t>
            </w:r>
          </w:p>
        </w:tc>
        <w:tc>
          <w:tcPr>
            <w:tcW w:w="14455" w:type="dxa"/>
            <w:gridSpan w:val="3"/>
            <w:shd w:val="clear" w:color="auto" w:fill="auto"/>
            <w:vAlign w:val="center"/>
            <w:hideMark/>
          </w:tcPr>
          <w:p w14:paraId="2C7DC9E8" w14:textId="77777777" w:rsidR="00DB1D87" w:rsidRPr="00A464CF" w:rsidRDefault="00DB1D87" w:rsidP="00DB1D87">
            <w:pPr>
              <w:rPr>
                <w:rFonts w:eastAsia="Times New Roman"/>
                <w:b/>
                <w:bCs/>
                <w:sz w:val="22"/>
                <w:szCs w:val="22"/>
              </w:rPr>
            </w:pPr>
            <w:r w:rsidRPr="00A464CF">
              <w:rPr>
                <w:rFonts w:eastAsia="Times New Roman"/>
                <w:b/>
                <w:bCs/>
                <w:sz w:val="22"/>
                <w:szCs w:val="22"/>
              </w:rPr>
              <w:t>Tiếp tục cơ cấu lại đầu tư, trọng tâm là đầu tư công</w:t>
            </w:r>
          </w:p>
        </w:tc>
      </w:tr>
      <w:tr w:rsidR="00A464CF" w:rsidRPr="00A464CF" w14:paraId="0F69104D" w14:textId="77777777" w:rsidTr="00AA2D1A">
        <w:trPr>
          <w:trHeight w:val="848"/>
        </w:trPr>
        <w:tc>
          <w:tcPr>
            <w:tcW w:w="708" w:type="dxa"/>
            <w:shd w:val="clear" w:color="auto" w:fill="auto"/>
            <w:noWrap/>
            <w:vAlign w:val="center"/>
            <w:hideMark/>
          </w:tcPr>
          <w:p w14:paraId="4E41E1B8" w14:textId="77777777" w:rsidR="00DB1D87" w:rsidRPr="00A464CF" w:rsidRDefault="00DB1D87" w:rsidP="00DB1D87">
            <w:pPr>
              <w:jc w:val="center"/>
              <w:rPr>
                <w:rFonts w:eastAsia="Times New Roman"/>
                <w:sz w:val="22"/>
                <w:szCs w:val="22"/>
              </w:rPr>
            </w:pPr>
            <w:r w:rsidRPr="00A464CF">
              <w:rPr>
                <w:rFonts w:eastAsia="Times New Roman"/>
                <w:sz w:val="22"/>
                <w:szCs w:val="22"/>
              </w:rPr>
              <w:t>1</w:t>
            </w:r>
          </w:p>
        </w:tc>
        <w:tc>
          <w:tcPr>
            <w:tcW w:w="5378" w:type="dxa"/>
            <w:shd w:val="clear" w:color="auto" w:fill="auto"/>
            <w:vAlign w:val="center"/>
            <w:hideMark/>
          </w:tcPr>
          <w:p w14:paraId="507D3A04" w14:textId="77777777" w:rsidR="00DB1D87" w:rsidRPr="00A464CF" w:rsidRDefault="00DB1D87" w:rsidP="00DB1D87">
            <w:pPr>
              <w:jc w:val="both"/>
              <w:rPr>
                <w:rFonts w:eastAsia="Times New Roman"/>
                <w:sz w:val="22"/>
                <w:szCs w:val="22"/>
              </w:rPr>
            </w:pPr>
            <w:r w:rsidRPr="00A464CF">
              <w:rPr>
                <w:rFonts w:eastAsia="Times New Roman"/>
                <w:sz w:val="22"/>
                <w:szCs w:val="22"/>
              </w:rPr>
              <w:t>Xây dựng Đề án cơ cấu lại đầu tư công giai đoạn 2016 - 2020 trong năm 2017</w:t>
            </w:r>
          </w:p>
        </w:tc>
        <w:tc>
          <w:tcPr>
            <w:tcW w:w="7771" w:type="dxa"/>
            <w:shd w:val="clear" w:color="auto" w:fill="auto"/>
            <w:vAlign w:val="center"/>
            <w:hideMark/>
          </w:tcPr>
          <w:p w14:paraId="6F27940D" w14:textId="5B33387F" w:rsidR="00DB1D87" w:rsidRPr="00A464CF" w:rsidRDefault="00DB1D87" w:rsidP="00DB1D87">
            <w:pPr>
              <w:jc w:val="both"/>
              <w:rPr>
                <w:rFonts w:eastAsia="Times New Roman"/>
                <w:sz w:val="22"/>
                <w:szCs w:val="22"/>
              </w:rPr>
            </w:pPr>
            <w:r w:rsidRPr="00A464CF">
              <w:rPr>
                <w:rFonts w:eastAsia="Times New Roman"/>
                <w:sz w:val="22"/>
                <w:szCs w:val="22"/>
              </w:rPr>
              <w:t>Thủ tướng Chính phủ đã ban hành Quyết định số 63/QĐ-TTg ngày 12/1/2018 Phê duyệt Đề án Cơ cấu lại đầu tư công giai đoạn 2017 - 2020 và định hướng đến năm 2025;</w:t>
            </w:r>
          </w:p>
        </w:tc>
        <w:tc>
          <w:tcPr>
            <w:tcW w:w="1306" w:type="dxa"/>
            <w:shd w:val="clear" w:color="auto" w:fill="auto"/>
            <w:vAlign w:val="center"/>
            <w:hideMark/>
          </w:tcPr>
          <w:p w14:paraId="5C67A670"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rõ ràng</w:t>
            </w:r>
          </w:p>
        </w:tc>
      </w:tr>
      <w:tr w:rsidR="00A464CF" w:rsidRPr="00A464CF" w14:paraId="5E469650" w14:textId="77777777" w:rsidTr="00AA2D1A">
        <w:trPr>
          <w:trHeight w:val="462"/>
        </w:trPr>
        <w:tc>
          <w:tcPr>
            <w:tcW w:w="708" w:type="dxa"/>
            <w:shd w:val="clear" w:color="auto" w:fill="auto"/>
            <w:noWrap/>
            <w:vAlign w:val="center"/>
            <w:hideMark/>
          </w:tcPr>
          <w:p w14:paraId="4CA305E1" w14:textId="77777777" w:rsidR="00DB1D87" w:rsidRPr="00A464CF" w:rsidRDefault="00DB1D87" w:rsidP="00DB1D87">
            <w:pPr>
              <w:jc w:val="center"/>
              <w:rPr>
                <w:rFonts w:eastAsia="Times New Roman"/>
                <w:sz w:val="22"/>
                <w:szCs w:val="22"/>
              </w:rPr>
            </w:pPr>
            <w:r w:rsidRPr="00A464CF">
              <w:rPr>
                <w:rFonts w:eastAsia="Times New Roman"/>
                <w:sz w:val="22"/>
                <w:szCs w:val="22"/>
              </w:rPr>
              <w:t>2</w:t>
            </w:r>
          </w:p>
        </w:tc>
        <w:tc>
          <w:tcPr>
            <w:tcW w:w="5378" w:type="dxa"/>
            <w:shd w:val="clear" w:color="auto" w:fill="auto"/>
            <w:vAlign w:val="center"/>
            <w:hideMark/>
          </w:tcPr>
          <w:p w14:paraId="25257383" w14:textId="77777777" w:rsidR="00DB1D87" w:rsidRPr="00A464CF" w:rsidRDefault="00DB1D87" w:rsidP="00DB1D87">
            <w:pPr>
              <w:jc w:val="both"/>
              <w:rPr>
                <w:rFonts w:eastAsia="Times New Roman"/>
                <w:sz w:val="22"/>
                <w:szCs w:val="22"/>
              </w:rPr>
            </w:pPr>
            <w:r w:rsidRPr="00A464CF">
              <w:rPr>
                <w:rFonts w:eastAsia="Times New Roman"/>
                <w:sz w:val="22"/>
                <w:szCs w:val="22"/>
              </w:rPr>
              <w:t>Xây dựng Đề án hoàn thiện thể chế lựa chọn sắp xếp thứ tự ưu tiên phê duyệt dự án đầu tư công và đánh giá hiệu quả sau đầu tư nhằm nâng cao hiệu quả sử dụng nguồn vốn đầu tư công giai đoạn đến năm 2020 và tầm nhìn đến 2025</w:t>
            </w:r>
          </w:p>
        </w:tc>
        <w:tc>
          <w:tcPr>
            <w:tcW w:w="7771" w:type="dxa"/>
            <w:shd w:val="clear" w:color="auto" w:fill="auto"/>
            <w:vAlign w:val="center"/>
            <w:hideMark/>
          </w:tcPr>
          <w:p w14:paraId="28CD3C36" w14:textId="77777777" w:rsidR="00DB1D87" w:rsidRPr="00A464CF" w:rsidRDefault="00DB1D87" w:rsidP="00DB1D87">
            <w:pPr>
              <w:jc w:val="both"/>
              <w:rPr>
                <w:rFonts w:eastAsia="Times New Roman"/>
                <w:sz w:val="22"/>
                <w:szCs w:val="22"/>
              </w:rPr>
            </w:pPr>
            <w:r w:rsidRPr="00A464CF">
              <w:rPr>
                <w:rFonts w:eastAsia="Times New Roman"/>
                <w:sz w:val="22"/>
                <w:szCs w:val="22"/>
              </w:rPr>
              <w:t>Đề án đang trong quá trình xây dựng</w:t>
            </w:r>
          </w:p>
        </w:tc>
        <w:tc>
          <w:tcPr>
            <w:tcW w:w="1306" w:type="dxa"/>
            <w:shd w:val="clear" w:color="auto" w:fill="auto"/>
            <w:vAlign w:val="center"/>
            <w:hideMark/>
          </w:tcPr>
          <w:p w14:paraId="648BB25D" w14:textId="166ACB46" w:rsidR="00DB1D87" w:rsidRPr="00A464CF" w:rsidRDefault="00DB1D87" w:rsidP="00DB1D87">
            <w:pPr>
              <w:rPr>
                <w:rFonts w:eastAsia="Times New Roman"/>
                <w:sz w:val="22"/>
                <w:szCs w:val="22"/>
              </w:rPr>
            </w:pPr>
            <w:r w:rsidRPr="00A464CF">
              <w:rPr>
                <w:rFonts w:eastAsia="Times New Roman"/>
                <w:sz w:val="22"/>
                <w:szCs w:val="22"/>
              </w:rPr>
              <w:t>Đang triển khai và có kết quả bướ</w:t>
            </w:r>
            <w:r w:rsidR="00F315ED" w:rsidRPr="00A464CF">
              <w:rPr>
                <w:rFonts w:eastAsia="Times New Roman"/>
                <w:sz w:val="22"/>
                <w:szCs w:val="22"/>
              </w:rPr>
              <w:t>c</w:t>
            </w:r>
            <w:r w:rsidRPr="00A464CF">
              <w:rPr>
                <w:rFonts w:eastAsia="Times New Roman"/>
                <w:sz w:val="22"/>
                <w:szCs w:val="22"/>
              </w:rPr>
              <w:t xml:space="preserve"> đầu</w:t>
            </w:r>
          </w:p>
        </w:tc>
      </w:tr>
      <w:tr w:rsidR="00A464CF" w:rsidRPr="00A464CF" w14:paraId="093181F7" w14:textId="77777777" w:rsidTr="00AA2D1A">
        <w:trPr>
          <w:trHeight w:val="60"/>
        </w:trPr>
        <w:tc>
          <w:tcPr>
            <w:tcW w:w="708" w:type="dxa"/>
            <w:shd w:val="clear" w:color="auto" w:fill="auto"/>
            <w:noWrap/>
            <w:vAlign w:val="center"/>
            <w:hideMark/>
          </w:tcPr>
          <w:p w14:paraId="550176EB" w14:textId="77777777" w:rsidR="00DB1D87" w:rsidRPr="00A464CF" w:rsidRDefault="00DB1D87" w:rsidP="00DB1D87">
            <w:pPr>
              <w:jc w:val="center"/>
              <w:rPr>
                <w:rFonts w:eastAsia="Times New Roman"/>
                <w:sz w:val="22"/>
                <w:szCs w:val="22"/>
              </w:rPr>
            </w:pPr>
            <w:r w:rsidRPr="00A464CF">
              <w:rPr>
                <w:rFonts w:eastAsia="Times New Roman"/>
                <w:sz w:val="22"/>
                <w:szCs w:val="22"/>
              </w:rPr>
              <w:t>3</w:t>
            </w:r>
          </w:p>
        </w:tc>
        <w:tc>
          <w:tcPr>
            <w:tcW w:w="5378" w:type="dxa"/>
            <w:shd w:val="clear" w:color="auto" w:fill="auto"/>
            <w:vAlign w:val="center"/>
            <w:hideMark/>
          </w:tcPr>
          <w:p w14:paraId="343BF8E0" w14:textId="77777777" w:rsidR="00DB1D87" w:rsidRPr="00A464CF" w:rsidRDefault="00DB1D87" w:rsidP="00DB1D87">
            <w:pPr>
              <w:jc w:val="both"/>
              <w:rPr>
                <w:rFonts w:eastAsia="Times New Roman"/>
                <w:sz w:val="22"/>
                <w:szCs w:val="22"/>
              </w:rPr>
            </w:pPr>
            <w:r w:rsidRPr="00A464CF">
              <w:rPr>
                <w:rFonts w:eastAsia="Times New Roman"/>
                <w:sz w:val="22"/>
                <w:szCs w:val="22"/>
              </w:rPr>
              <w:t xml:space="preserve">Hoàn thiện hệ thống quản lý đầu tư công theo thông lệ quốc tế đảm bảo đến năm 2019 đạt chất lượng tương đương trung bình các nước ASEAN-4, trong đó ưu tiên đổi mới cách </w:t>
            </w:r>
            <w:r w:rsidRPr="00A464CF">
              <w:rPr>
                <w:rFonts w:eastAsia="Times New Roman"/>
                <w:sz w:val="22"/>
                <w:szCs w:val="22"/>
              </w:rPr>
              <w:lastRenderedPageBreak/>
              <w:t>thức lập và thẩm định, đánh giá và lựa chọn dự án đầu tư công</w:t>
            </w:r>
          </w:p>
        </w:tc>
        <w:tc>
          <w:tcPr>
            <w:tcW w:w="7771" w:type="dxa"/>
            <w:shd w:val="clear" w:color="auto" w:fill="auto"/>
            <w:vAlign w:val="center"/>
            <w:hideMark/>
          </w:tcPr>
          <w:p w14:paraId="7BC78B9A" w14:textId="58FD0F1B" w:rsidR="00DB1D87" w:rsidRPr="00A464CF" w:rsidRDefault="00DB1D87" w:rsidP="00DB1D87">
            <w:pPr>
              <w:jc w:val="both"/>
              <w:rPr>
                <w:rFonts w:eastAsia="Times New Roman"/>
                <w:sz w:val="22"/>
                <w:szCs w:val="22"/>
              </w:rPr>
            </w:pPr>
            <w:r w:rsidRPr="00A464CF">
              <w:rPr>
                <w:rFonts w:eastAsia="Times New Roman"/>
                <w:sz w:val="22"/>
                <w:szCs w:val="22"/>
              </w:rPr>
              <w:lastRenderedPageBreak/>
              <w:t xml:space="preserve">Hệ thống quản lý đầu tư công nhìn chung chậm được đổi mới, chưa đổi mới được cách thức lập, thẩm định, đánh giá và lựa chọn dự án đầu tư công. </w:t>
            </w:r>
            <w:r w:rsidRPr="00A464CF">
              <w:rPr>
                <w:spacing w:val="-4"/>
                <w:szCs w:val="28"/>
                <w:lang w:val="sv-SE"/>
              </w:rPr>
              <w:t xml:space="preserve">Đã trình Quốc hội ban hành Luật Đầu tư công số 39/2019/QH14, có hiệu lực từ ngày 01 tháng 01 năm </w:t>
            </w:r>
            <w:r w:rsidRPr="00A464CF">
              <w:rPr>
                <w:spacing w:val="-4"/>
                <w:szCs w:val="28"/>
                <w:lang w:val="sv-SE"/>
              </w:rPr>
              <w:lastRenderedPageBreak/>
              <w:t>2020 và hiện đang xây dựng Nghị định hướng dẫn thi hành một số điều của Luật Đầu tư công số 39/2019/QH14</w:t>
            </w:r>
            <w:r w:rsidRPr="00A464CF">
              <w:rPr>
                <w:rFonts w:eastAsia="Times New Roman"/>
                <w:sz w:val="22"/>
                <w:szCs w:val="22"/>
              </w:rPr>
              <w:t>.</w:t>
            </w:r>
          </w:p>
        </w:tc>
        <w:tc>
          <w:tcPr>
            <w:tcW w:w="1306" w:type="dxa"/>
            <w:shd w:val="clear" w:color="auto" w:fill="auto"/>
            <w:vAlign w:val="center"/>
            <w:hideMark/>
          </w:tcPr>
          <w:p w14:paraId="3143982B" w14:textId="77777777" w:rsidR="00DB1D87" w:rsidRPr="00A464CF" w:rsidRDefault="00DB1D87" w:rsidP="00DB1D87">
            <w:pPr>
              <w:rPr>
                <w:rFonts w:eastAsia="Times New Roman"/>
                <w:sz w:val="22"/>
                <w:szCs w:val="22"/>
              </w:rPr>
            </w:pPr>
            <w:r w:rsidRPr="00A464CF">
              <w:rPr>
                <w:rFonts w:eastAsia="Times New Roman"/>
                <w:sz w:val="22"/>
                <w:szCs w:val="22"/>
              </w:rPr>
              <w:lastRenderedPageBreak/>
              <w:t xml:space="preserve">Đã triển khai và có </w:t>
            </w:r>
            <w:r w:rsidRPr="00A464CF">
              <w:rPr>
                <w:rFonts w:eastAsia="Times New Roman"/>
                <w:sz w:val="22"/>
                <w:szCs w:val="22"/>
              </w:rPr>
              <w:lastRenderedPageBreak/>
              <w:t>kết quả bước đầu</w:t>
            </w:r>
          </w:p>
        </w:tc>
      </w:tr>
      <w:tr w:rsidR="00A464CF" w:rsidRPr="00A464CF" w14:paraId="64F4171E" w14:textId="77777777" w:rsidTr="00AA2D1A">
        <w:trPr>
          <w:trHeight w:val="160"/>
        </w:trPr>
        <w:tc>
          <w:tcPr>
            <w:tcW w:w="708" w:type="dxa"/>
            <w:shd w:val="clear" w:color="auto" w:fill="auto"/>
            <w:noWrap/>
            <w:vAlign w:val="center"/>
            <w:hideMark/>
          </w:tcPr>
          <w:p w14:paraId="4B539A20" w14:textId="77777777" w:rsidR="00DB1D87" w:rsidRPr="00A464CF" w:rsidRDefault="00DB1D87" w:rsidP="00DB1D87">
            <w:pPr>
              <w:jc w:val="center"/>
              <w:rPr>
                <w:rFonts w:eastAsia="Times New Roman"/>
                <w:sz w:val="22"/>
                <w:szCs w:val="22"/>
              </w:rPr>
            </w:pPr>
            <w:r w:rsidRPr="00A464CF">
              <w:rPr>
                <w:rFonts w:eastAsia="Times New Roman"/>
                <w:sz w:val="22"/>
                <w:szCs w:val="22"/>
              </w:rPr>
              <w:lastRenderedPageBreak/>
              <w:t>4</w:t>
            </w:r>
          </w:p>
        </w:tc>
        <w:tc>
          <w:tcPr>
            <w:tcW w:w="5378" w:type="dxa"/>
            <w:shd w:val="clear" w:color="auto" w:fill="auto"/>
            <w:vAlign w:val="center"/>
            <w:hideMark/>
          </w:tcPr>
          <w:p w14:paraId="614C9CB5" w14:textId="77777777" w:rsidR="00DB1D87" w:rsidRPr="00A464CF" w:rsidRDefault="00DB1D87" w:rsidP="00DB1D87">
            <w:pPr>
              <w:jc w:val="both"/>
              <w:rPr>
                <w:rFonts w:eastAsia="Times New Roman"/>
                <w:sz w:val="22"/>
                <w:szCs w:val="22"/>
              </w:rPr>
            </w:pPr>
            <w:r w:rsidRPr="00A464CF">
              <w:rPr>
                <w:rFonts w:eastAsia="Times New Roman"/>
                <w:sz w:val="22"/>
                <w:szCs w:val="22"/>
              </w:rPr>
              <w:t>Tăng cường đối thoại chính sách với cộng đồng doanh nghiệp để tháo gỡ khó khăn, vướng mắc cho các nhà đầu tư (xúc tiến đầu tư tại chỗ)</w:t>
            </w:r>
          </w:p>
        </w:tc>
        <w:tc>
          <w:tcPr>
            <w:tcW w:w="7771" w:type="dxa"/>
            <w:shd w:val="clear" w:color="auto" w:fill="auto"/>
            <w:vAlign w:val="center"/>
            <w:hideMark/>
          </w:tcPr>
          <w:p w14:paraId="5324B8D9" w14:textId="77777777" w:rsidR="00DB1D87" w:rsidRPr="00A464CF" w:rsidRDefault="00DB1D87" w:rsidP="00DB1D87">
            <w:pPr>
              <w:jc w:val="both"/>
              <w:rPr>
                <w:rFonts w:eastAsia="Times New Roman"/>
                <w:sz w:val="22"/>
                <w:szCs w:val="22"/>
              </w:rPr>
            </w:pPr>
            <w:r w:rsidRPr="00A464CF">
              <w:rPr>
                <w:rFonts w:eastAsia="Times New Roman"/>
                <w:sz w:val="22"/>
                <w:szCs w:val="22"/>
              </w:rPr>
              <w:t>Tổ công tác thi hành Luật Doanh nghiệp, Luật Đầu tư tiếp tục hoạt động hiệu quả, góp phần tháo gỡ khó khăn cho doanh nghiệp. Diễn đàn doanh nghiệp hàng năm được tổ chức để lắng nghe ý kiến của doanh nghiệp. Tại địa phương, các chương trình gặp gỡ, tiếp xúc doanh nghiệp được tổ chức theo định kỳ để hỗ trợ, giải quyết vướng mắc cho doanh nghiệp.</w:t>
            </w:r>
          </w:p>
        </w:tc>
        <w:tc>
          <w:tcPr>
            <w:tcW w:w="1306" w:type="dxa"/>
            <w:shd w:val="clear" w:color="auto" w:fill="auto"/>
            <w:vAlign w:val="center"/>
            <w:hideMark/>
          </w:tcPr>
          <w:p w14:paraId="42D448A7"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rõ ràng</w:t>
            </w:r>
          </w:p>
        </w:tc>
      </w:tr>
      <w:tr w:rsidR="00A464CF" w:rsidRPr="00A464CF" w14:paraId="7D3ABC68" w14:textId="77777777" w:rsidTr="00AA2D1A">
        <w:trPr>
          <w:trHeight w:val="589"/>
        </w:trPr>
        <w:tc>
          <w:tcPr>
            <w:tcW w:w="708" w:type="dxa"/>
            <w:shd w:val="clear" w:color="auto" w:fill="auto"/>
            <w:noWrap/>
            <w:vAlign w:val="center"/>
            <w:hideMark/>
          </w:tcPr>
          <w:p w14:paraId="0327BBAF" w14:textId="77777777" w:rsidR="00DB1D87" w:rsidRPr="00A464CF" w:rsidRDefault="00DB1D87" w:rsidP="00DB1D87">
            <w:pPr>
              <w:jc w:val="center"/>
              <w:rPr>
                <w:rFonts w:eastAsia="Times New Roman"/>
                <w:sz w:val="22"/>
                <w:szCs w:val="22"/>
              </w:rPr>
            </w:pPr>
            <w:r w:rsidRPr="00A464CF">
              <w:rPr>
                <w:rFonts w:eastAsia="Times New Roman"/>
                <w:sz w:val="22"/>
                <w:szCs w:val="22"/>
              </w:rPr>
              <w:t>5</w:t>
            </w:r>
          </w:p>
        </w:tc>
        <w:tc>
          <w:tcPr>
            <w:tcW w:w="5378" w:type="dxa"/>
            <w:shd w:val="clear" w:color="auto" w:fill="auto"/>
            <w:vAlign w:val="center"/>
            <w:hideMark/>
          </w:tcPr>
          <w:p w14:paraId="2657DDA0" w14:textId="77777777" w:rsidR="00DB1D87" w:rsidRPr="00A464CF" w:rsidRDefault="00DB1D87" w:rsidP="00DB1D87">
            <w:pPr>
              <w:jc w:val="both"/>
              <w:rPr>
                <w:rFonts w:eastAsia="Times New Roman"/>
                <w:sz w:val="22"/>
                <w:szCs w:val="22"/>
              </w:rPr>
            </w:pPr>
            <w:r w:rsidRPr="00A464CF">
              <w:rPr>
                <w:rFonts w:eastAsia="Times New Roman"/>
                <w:sz w:val="22"/>
                <w:szCs w:val="22"/>
              </w:rPr>
              <w:t>Tiếp tục hoàn thiện chính sách và cơ chế về quản lý và sử dụng vốn hỗ trợ phát triển chính thức (ODA), vốn vay ưu đãi của các nhà tài trợ nước ngoài theo hướng chuyển từ cơ chế cấp phát sang cơ chế cho vay lại gắn với tăng cường quản lý, sử dụng hiệu quả nguồn vốn vay</w:t>
            </w:r>
          </w:p>
        </w:tc>
        <w:tc>
          <w:tcPr>
            <w:tcW w:w="7771" w:type="dxa"/>
            <w:shd w:val="clear" w:color="auto" w:fill="auto"/>
            <w:vAlign w:val="center"/>
            <w:hideMark/>
          </w:tcPr>
          <w:p w14:paraId="13DE0DAF" w14:textId="77777777" w:rsidR="00DB1D87" w:rsidRPr="00A464CF" w:rsidRDefault="00DB1D87" w:rsidP="00DB1D87">
            <w:pPr>
              <w:jc w:val="both"/>
              <w:rPr>
                <w:rFonts w:eastAsia="Times New Roman"/>
                <w:sz w:val="22"/>
                <w:szCs w:val="22"/>
              </w:rPr>
            </w:pPr>
            <w:r w:rsidRPr="00A464CF">
              <w:rPr>
                <w:rFonts w:eastAsia="Times New Roman"/>
                <w:sz w:val="22"/>
                <w:szCs w:val="22"/>
              </w:rPr>
              <w:t>Tiếp tục thực hiện Đề án Định hướng thu hút, quản lý, sử dụng nguồn vốn ODA và vốn vay ưu đãi của các nhà tài trợ nước ngoài thời kỳ 2016-2020 (Quyết định số 251/QĐ-TTg ngày 17/2/2016), Chính phủ ban hành Nghị định số 16/2016/NĐ-CP ngày 16/3/2016 về quản lý và sử dụng vốn hỗ trợ phát triển chính thức (ODA) và vốn vay ưu đãi của các nhà tài trợ nước ngoài; Nghị định số 52/2017/NĐ-CP ngày 28/4/2017 Về cho vay lại nguồn vốn vay nước ngoài của Chính phủ đối với UBND tỉnh, thành phố trực thuộc Trung ương.</w:t>
            </w:r>
          </w:p>
        </w:tc>
        <w:tc>
          <w:tcPr>
            <w:tcW w:w="1306" w:type="dxa"/>
            <w:shd w:val="clear" w:color="auto" w:fill="auto"/>
            <w:vAlign w:val="center"/>
            <w:hideMark/>
          </w:tcPr>
          <w:p w14:paraId="48BFB2CA"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5D49B9F9" w14:textId="77777777" w:rsidTr="00AA2D1A">
        <w:trPr>
          <w:trHeight w:val="919"/>
        </w:trPr>
        <w:tc>
          <w:tcPr>
            <w:tcW w:w="708" w:type="dxa"/>
            <w:shd w:val="clear" w:color="auto" w:fill="auto"/>
            <w:noWrap/>
            <w:vAlign w:val="center"/>
            <w:hideMark/>
          </w:tcPr>
          <w:p w14:paraId="515AD77E" w14:textId="77777777" w:rsidR="00DB1D87" w:rsidRPr="00A464CF" w:rsidRDefault="00DB1D87" w:rsidP="00DB1D87">
            <w:pPr>
              <w:jc w:val="center"/>
              <w:rPr>
                <w:rFonts w:eastAsia="Times New Roman"/>
                <w:sz w:val="22"/>
                <w:szCs w:val="22"/>
              </w:rPr>
            </w:pPr>
            <w:r w:rsidRPr="00A464CF">
              <w:rPr>
                <w:rFonts w:eastAsia="Times New Roman"/>
                <w:sz w:val="22"/>
                <w:szCs w:val="22"/>
              </w:rPr>
              <w:t>6</w:t>
            </w:r>
          </w:p>
        </w:tc>
        <w:tc>
          <w:tcPr>
            <w:tcW w:w="5378" w:type="dxa"/>
            <w:shd w:val="clear" w:color="auto" w:fill="auto"/>
            <w:vAlign w:val="center"/>
            <w:hideMark/>
          </w:tcPr>
          <w:p w14:paraId="2509E467" w14:textId="77777777" w:rsidR="00DB1D87" w:rsidRPr="00A464CF" w:rsidRDefault="00DB1D87" w:rsidP="00DB1D87">
            <w:pPr>
              <w:jc w:val="both"/>
              <w:rPr>
                <w:rFonts w:eastAsia="Times New Roman"/>
                <w:sz w:val="22"/>
                <w:szCs w:val="22"/>
              </w:rPr>
            </w:pPr>
            <w:r w:rsidRPr="00A464CF">
              <w:rPr>
                <w:rFonts w:eastAsia="Times New Roman"/>
                <w:sz w:val="22"/>
                <w:szCs w:val="22"/>
              </w:rPr>
              <w:t>Rà soát, công bố công khai nội dung, nhiệm vụ cần thu hút đầu tư của xã hội để có chính sách khuyến khích cụ thể để thu hút đầu tư</w:t>
            </w:r>
          </w:p>
        </w:tc>
        <w:tc>
          <w:tcPr>
            <w:tcW w:w="7771" w:type="dxa"/>
            <w:shd w:val="clear" w:color="auto" w:fill="auto"/>
            <w:vAlign w:val="center"/>
            <w:hideMark/>
          </w:tcPr>
          <w:p w14:paraId="078BFEEA" w14:textId="078B3826" w:rsidR="00DB1D87" w:rsidRPr="00A464CF" w:rsidRDefault="00DB1D87" w:rsidP="00DB1D87">
            <w:pPr>
              <w:jc w:val="both"/>
              <w:rPr>
                <w:rFonts w:eastAsia="Times New Roman"/>
                <w:sz w:val="22"/>
                <w:szCs w:val="22"/>
              </w:rPr>
            </w:pPr>
            <w:r w:rsidRPr="00A464CF">
              <w:rPr>
                <w:rFonts w:eastAsia="Times New Roman"/>
                <w:sz w:val="22"/>
                <w:szCs w:val="22"/>
              </w:rPr>
              <w:t>Bộ Kế hoạch và Đầu tư đã trình Thủ tướng Chính phủ danh mục 108 dự án PPP ưu tiên triển khai trong giai đoạn 2016 - 2020, gồm 68 dự án ưu tiên cấp quốc gia và 40 dự án ưu tiên cấp địa phương, với tổng mức đầu tư khoảng 375.000 tỷ đồng, trong đó nhu cầu vốn nhà nước tham gia vào các dự án PPP là 120.000 tỷ đồng. Tuy nhiên, danh mục dự án này chưa được công khai. Đồng thời, Bộ Kế hoạch và Đầu tư cũng đang xem xét, xây dựng hồ sơ đề xuất xây dựng luật PPP</w:t>
            </w:r>
          </w:p>
        </w:tc>
        <w:tc>
          <w:tcPr>
            <w:tcW w:w="1306" w:type="dxa"/>
            <w:shd w:val="clear" w:color="auto" w:fill="auto"/>
            <w:vAlign w:val="center"/>
            <w:hideMark/>
          </w:tcPr>
          <w:p w14:paraId="20BF1307"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053633C0" w14:textId="77777777" w:rsidTr="00AA2D1A">
        <w:trPr>
          <w:trHeight w:val="60"/>
        </w:trPr>
        <w:tc>
          <w:tcPr>
            <w:tcW w:w="708" w:type="dxa"/>
            <w:shd w:val="clear" w:color="auto" w:fill="auto"/>
            <w:noWrap/>
            <w:vAlign w:val="center"/>
            <w:hideMark/>
          </w:tcPr>
          <w:p w14:paraId="70707BC4" w14:textId="77777777" w:rsidR="00DB1D87" w:rsidRPr="00A464CF" w:rsidRDefault="00DB1D87" w:rsidP="00DB1D87">
            <w:pPr>
              <w:jc w:val="center"/>
              <w:rPr>
                <w:rFonts w:eastAsia="Times New Roman"/>
                <w:sz w:val="22"/>
                <w:szCs w:val="22"/>
              </w:rPr>
            </w:pPr>
            <w:r w:rsidRPr="00A464CF">
              <w:rPr>
                <w:rFonts w:eastAsia="Times New Roman"/>
                <w:sz w:val="22"/>
                <w:szCs w:val="22"/>
              </w:rPr>
              <w:t>7</w:t>
            </w:r>
          </w:p>
        </w:tc>
        <w:tc>
          <w:tcPr>
            <w:tcW w:w="5378" w:type="dxa"/>
            <w:shd w:val="clear" w:color="auto" w:fill="auto"/>
            <w:vAlign w:val="center"/>
            <w:hideMark/>
          </w:tcPr>
          <w:p w14:paraId="26490724" w14:textId="3E2FF009" w:rsidR="00DB1D87" w:rsidRPr="00A464CF" w:rsidRDefault="00DB1D87" w:rsidP="00DB1D87">
            <w:pPr>
              <w:jc w:val="both"/>
              <w:rPr>
                <w:rFonts w:eastAsia="Times New Roman"/>
                <w:sz w:val="22"/>
                <w:szCs w:val="22"/>
              </w:rPr>
            </w:pPr>
            <w:r w:rsidRPr="00A464CF">
              <w:rPr>
                <w:rFonts w:eastAsia="Times New Roman"/>
                <w:sz w:val="22"/>
                <w:szCs w:val="22"/>
              </w:rPr>
              <w:t>Hoàn thiện, triển khai thống nhất trên toàn quốc hệ thống thông tin về đầu tư sử dụng vốn nhà nước (bao gồm cơ sở dữ liệu về các dự án đầu tư công từ nguồn ngân sách Nhà nước, hỗ trợ phát triển chính thức ODA, trái phiếu Chính phủ...); xây dựng quy định bảo đảm triển khai hiệu quả việc ứng dụng công nghệ thông tin; hướng dẫn các bộ, ngành trung ương và địa phương sử dụng trong công tác quản lý, lập báo cáo tình hình thực hiện kế hoạch đầu tư công</w:t>
            </w:r>
          </w:p>
        </w:tc>
        <w:tc>
          <w:tcPr>
            <w:tcW w:w="7771" w:type="dxa"/>
            <w:shd w:val="clear" w:color="auto" w:fill="auto"/>
            <w:vAlign w:val="center"/>
            <w:hideMark/>
          </w:tcPr>
          <w:p w14:paraId="5AA3AA25" w14:textId="77777777" w:rsidR="00DB1D87" w:rsidRPr="00A464CF" w:rsidRDefault="00DB1D87" w:rsidP="00DB1D87">
            <w:pPr>
              <w:jc w:val="both"/>
              <w:rPr>
                <w:rFonts w:eastAsia="Times New Roman"/>
                <w:sz w:val="22"/>
                <w:szCs w:val="22"/>
              </w:rPr>
            </w:pPr>
            <w:r w:rsidRPr="00A464CF">
              <w:rPr>
                <w:rFonts w:eastAsia="Times New Roman"/>
                <w:sz w:val="22"/>
                <w:szCs w:val="22"/>
              </w:rPr>
              <w:t>Bộ Kế hoạch và Đầu tư đã xây dựng hệ thống thông tin về các dự án đầu tư công (dự án sử dụng NSNN, ODA, và được công khai tại website http://giamsatdautuquocgia.mpi.gov.vn Tuy nhiên, các thông tin công khai là khá hạn chế, chỉ gồm tên dự án, chủ đầu tư, tình trạng của dự án, mà chưa có thông tin về tổng vốn đầu tư và các thông tin khác liên quan đến vốn. Bộ đã ban hành các hướng dẫn để các địa phương, Bộ, ngành cập nhật thông tin trên website</w:t>
            </w:r>
          </w:p>
        </w:tc>
        <w:tc>
          <w:tcPr>
            <w:tcW w:w="1306" w:type="dxa"/>
            <w:shd w:val="clear" w:color="auto" w:fill="auto"/>
            <w:vAlign w:val="center"/>
            <w:hideMark/>
          </w:tcPr>
          <w:p w14:paraId="53C344E0"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1B38DB4A" w14:textId="77777777" w:rsidTr="00AA2D1A">
        <w:trPr>
          <w:trHeight w:val="566"/>
        </w:trPr>
        <w:tc>
          <w:tcPr>
            <w:tcW w:w="708" w:type="dxa"/>
            <w:shd w:val="clear" w:color="auto" w:fill="auto"/>
            <w:noWrap/>
            <w:vAlign w:val="center"/>
            <w:hideMark/>
          </w:tcPr>
          <w:p w14:paraId="0B6BEF38" w14:textId="77777777" w:rsidR="00DB1D87" w:rsidRPr="00A464CF" w:rsidRDefault="00DB1D87" w:rsidP="00DB1D87">
            <w:pPr>
              <w:jc w:val="center"/>
              <w:rPr>
                <w:rFonts w:eastAsia="Times New Roman"/>
                <w:sz w:val="22"/>
                <w:szCs w:val="22"/>
              </w:rPr>
            </w:pPr>
            <w:r w:rsidRPr="00A464CF">
              <w:rPr>
                <w:rFonts w:eastAsia="Times New Roman"/>
                <w:sz w:val="22"/>
                <w:szCs w:val="22"/>
              </w:rPr>
              <w:t>8</w:t>
            </w:r>
          </w:p>
        </w:tc>
        <w:tc>
          <w:tcPr>
            <w:tcW w:w="5378" w:type="dxa"/>
            <w:shd w:val="clear" w:color="auto" w:fill="auto"/>
            <w:vAlign w:val="center"/>
            <w:hideMark/>
          </w:tcPr>
          <w:p w14:paraId="46C50019" w14:textId="31DC6A6B" w:rsidR="00DB1D87" w:rsidRPr="00A464CF" w:rsidRDefault="00DB1D87" w:rsidP="00DB1D87">
            <w:pPr>
              <w:jc w:val="both"/>
              <w:rPr>
                <w:rFonts w:eastAsia="Times New Roman"/>
                <w:sz w:val="22"/>
                <w:szCs w:val="22"/>
              </w:rPr>
            </w:pPr>
            <w:r w:rsidRPr="00A464CF">
              <w:rPr>
                <w:rFonts w:eastAsia="Times New Roman"/>
                <w:sz w:val="22"/>
                <w:szCs w:val="22"/>
              </w:rPr>
              <w:t>Triển khai quyết liệt các biện pháp phòng ngừa, đấu tranh chống tham nhũng, thất thoát, lãng phí vốn, tài sản Nhà nước; ngăn chặn, xử lý nghiêm tình trạng chuyển giá, trốn thuế của các doanh nghiệp đầu tư trực tiếp nước ngoài</w:t>
            </w:r>
          </w:p>
        </w:tc>
        <w:tc>
          <w:tcPr>
            <w:tcW w:w="7771" w:type="dxa"/>
            <w:shd w:val="clear" w:color="auto" w:fill="auto"/>
            <w:vAlign w:val="center"/>
            <w:hideMark/>
          </w:tcPr>
          <w:p w14:paraId="0EA1A73C" w14:textId="322AA6D2" w:rsidR="00DB1D87" w:rsidRPr="00A464CF" w:rsidRDefault="00DB1D87" w:rsidP="00DB1D87">
            <w:pPr>
              <w:jc w:val="both"/>
              <w:rPr>
                <w:rFonts w:eastAsia="Times New Roman"/>
                <w:sz w:val="22"/>
                <w:szCs w:val="22"/>
              </w:rPr>
            </w:pPr>
            <w:r w:rsidRPr="00A464CF">
              <w:rPr>
                <w:rFonts w:eastAsia="Times New Roman"/>
                <w:sz w:val="22"/>
                <w:szCs w:val="22"/>
              </w:rPr>
              <w:t>Việc phòng ngừa, đấu tranh chống tham nhũng, thất thoát, lãnh phí vốn, tài sản Nhà nước tiếp tục được triển khai. Công tác thanh tra chống chuyển giá được đẩy mạnh, Bộ Tài chính (Tổng cục Thuế) đã yêu cầu các đơn vị tập trung triển khai thanh tra kiểm tra thuế, chống thất thu NSNN, chống chuyển giá; tích cực triển khai các ứng dụng kiểm tra hồ sơ kê khai thuế; tăng cường thanh tra, kiểm tra sau hoàn thuế, chú trọng thanh tra các doanh nghiệp có giao dịch liên kết, có dấu hiệu chuyển giá... .</w:t>
            </w:r>
          </w:p>
        </w:tc>
        <w:tc>
          <w:tcPr>
            <w:tcW w:w="1306" w:type="dxa"/>
            <w:shd w:val="clear" w:color="auto" w:fill="auto"/>
            <w:vAlign w:val="center"/>
            <w:hideMark/>
          </w:tcPr>
          <w:p w14:paraId="6A996EB4"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0AA16503" w14:textId="77777777" w:rsidTr="00AA2D1A">
        <w:trPr>
          <w:trHeight w:val="60"/>
        </w:trPr>
        <w:tc>
          <w:tcPr>
            <w:tcW w:w="708" w:type="dxa"/>
            <w:shd w:val="clear" w:color="auto" w:fill="auto"/>
            <w:noWrap/>
            <w:vAlign w:val="center"/>
            <w:hideMark/>
          </w:tcPr>
          <w:p w14:paraId="6F416EEF" w14:textId="77777777" w:rsidR="00DB1D87" w:rsidRPr="00A464CF" w:rsidRDefault="00DB1D87" w:rsidP="00DB1D87">
            <w:pPr>
              <w:jc w:val="center"/>
              <w:rPr>
                <w:rFonts w:eastAsia="Times New Roman"/>
                <w:sz w:val="22"/>
                <w:szCs w:val="22"/>
              </w:rPr>
            </w:pPr>
            <w:r w:rsidRPr="00A464CF">
              <w:rPr>
                <w:rFonts w:eastAsia="Times New Roman"/>
                <w:sz w:val="22"/>
                <w:szCs w:val="22"/>
              </w:rPr>
              <w:lastRenderedPageBreak/>
              <w:t>9</w:t>
            </w:r>
          </w:p>
        </w:tc>
        <w:tc>
          <w:tcPr>
            <w:tcW w:w="5378" w:type="dxa"/>
            <w:shd w:val="clear" w:color="auto" w:fill="auto"/>
            <w:vAlign w:val="center"/>
            <w:hideMark/>
          </w:tcPr>
          <w:p w14:paraId="3C49CAD9" w14:textId="77777777" w:rsidR="00DB1D87" w:rsidRPr="00A464CF" w:rsidRDefault="00DB1D87" w:rsidP="00DB1D87">
            <w:pPr>
              <w:jc w:val="both"/>
              <w:rPr>
                <w:rFonts w:eastAsia="Times New Roman"/>
                <w:sz w:val="22"/>
                <w:szCs w:val="22"/>
              </w:rPr>
            </w:pPr>
            <w:r w:rsidRPr="00A464CF">
              <w:rPr>
                <w:rFonts w:eastAsia="Times New Roman"/>
                <w:sz w:val="22"/>
                <w:szCs w:val="22"/>
              </w:rPr>
              <w:t>Nghiên cứu xây dựng Đề án hoàn thiện hệ thống quy chuẩn, tiêu chuẩn định mức kinh tế - kỹ thuật, suất đầu tư và giá trong lĩnh vực xây dựng trong năm 2017</w:t>
            </w:r>
          </w:p>
        </w:tc>
        <w:tc>
          <w:tcPr>
            <w:tcW w:w="7771" w:type="dxa"/>
            <w:shd w:val="clear" w:color="auto" w:fill="auto"/>
            <w:vAlign w:val="center"/>
            <w:hideMark/>
          </w:tcPr>
          <w:p w14:paraId="17CADA16" w14:textId="77777777" w:rsidR="00BA3835" w:rsidRPr="00A464CF" w:rsidRDefault="00BA3835" w:rsidP="00BA3835">
            <w:pPr>
              <w:jc w:val="both"/>
              <w:rPr>
                <w:rFonts w:eastAsia="Times New Roman"/>
                <w:sz w:val="22"/>
                <w:szCs w:val="22"/>
              </w:rPr>
            </w:pPr>
            <w:r w:rsidRPr="00A464CF">
              <w:rPr>
                <w:rFonts w:eastAsia="Times New Roman"/>
                <w:sz w:val="22"/>
                <w:szCs w:val="22"/>
              </w:rPr>
              <w:t xml:space="preserve">- Về hoàn thiện hệ thống định mức và giá xây dựng: </w:t>
            </w:r>
            <w:r w:rsidR="00DB1D87" w:rsidRPr="00A464CF">
              <w:rPr>
                <w:rFonts w:eastAsia="Times New Roman"/>
                <w:sz w:val="22"/>
                <w:szCs w:val="22"/>
              </w:rPr>
              <w:t>Thủ tướng Chính phủ đã ban hành Quyết định số 2038/QĐ-TTg ngày 18/12/2017 Phê duyệt Đề án Hoàn thiện hệ thống định mức và giá xây dựng</w:t>
            </w:r>
            <w:r w:rsidRPr="00A464CF">
              <w:rPr>
                <w:rFonts w:eastAsia="Times New Roman"/>
                <w:sz w:val="22"/>
                <w:szCs w:val="22"/>
              </w:rPr>
              <w:t>. Theo đó, các nhiệm vụ liên quan cũng đã được Bộ Xây dựng triển khai thực hiện:</w:t>
            </w:r>
          </w:p>
          <w:p w14:paraId="5C1D4745" w14:textId="77777777" w:rsidR="00BA3835" w:rsidRPr="00A464CF" w:rsidRDefault="00BA3835" w:rsidP="00BA3835">
            <w:pPr>
              <w:jc w:val="both"/>
              <w:rPr>
                <w:rFonts w:eastAsia="Times New Roman"/>
                <w:sz w:val="22"/>
                <w:szCs w:val="22"/>
              </w:rPr>
            </w:pPr>
            <w:r w:rsidRPr="00A464CF">
              <w:rPr>
                <w:rFonts w:eastAsia="Times New Roman"/>
                <w:sz w:val="22"/>
                <w:szCs w:val="22"/>
              </w:rPr>
              <w:t>+ Chủ trì phối hợp với các Bộ và cơ quan có liên quan soạn thảo và trình Chính phủ ban hành Nghị định số 68/2019/NĐ-CP ngày 14/8/2019 về quản lý chi phí đầu tư xây dựng (thay thế Nghị định số 32/2015/NĐ-CP ngày 25/3/2015) và các Thông tư hướng dẫn; trình Chính phủ ban hành Nghị định sửa đổi, bổ sung Nghị định số 37/2015/NĐ-CP ngày 22/4/2015 của Chính phủ quy định chi tiết về hợp đồng xây dựng. Trong thời gian tới, tiếp tục nghiên cứu, rà soát, xây dựng và trình Chính phủ ban hành các Nghị định về quản lý chi phí đầu tư xây dựng và hợp đồng xây dựng đảm bảo tính đồng bộ và phù hợp với quy định của Luật số 62/2020/QH14 sửa đổi, bổ sung một số điều của Luật Xây dựng.</w:t>
            </w:r>
          </w:p>
          <w:p w14:paraId="6A4414A1" w14:textId="77777777" w:rsidR="00BA3835" w:rsidRPr="00A464CF" w:rsidRDefault="00BA3835" w:rsidP="00BA3835">
            <w:pPr>
              <w:jc w:val="both"/>
              <w:rPr>
                <w:rFonts w:eastAsia="Times New Roman"/>
                <w:sz w:val="22"/>
                <w:szCs w:val="22"/>
              </w:rPr>
            </w:pPr>
            <w:r w:rsidRPr="00A464CF">
              <w:rPr>
                <w:rFonts w:eastAsia="Times New Roman"/>
                <w:sz w:val="22"/>
                <w:szCs w:val="22"/>
              </w:rPr>
              <w:t>+ Hoàn thành công tác rà soát 16.005/16.005 định mức xây dựng do Bộ Xây dựng đã công bố, đã loại bỏ 1.005 định mức quá lạc hậu, sửa đổi 3.289 định mức, bổ sung 1.896 định mức. Kết quả ban đầu của công tác rà soát định mức xây dựng đã cho thấy những hiệu quả rõ rệt, góp phần giảm bớt thất thoát, lãng phí, nâng cao hiệu quả kinh tế đầu tư và qua đó phòng chống tham nhũng, tiêu cực trong hoạt động đầu tư xây dựng công trình.</w:t>
            </w:r>
          </w:p>
          <w:p w14:paraId="50D85A46" w14:textId="77777777" w:rsidR="00BA3835" w:rsidRPr="00A464CF" w:rsidRDefault="00BA3835" w:rsidP="00BA3835">
            <w:pPr>
              <w:jc w:val="both"/>
              <w:rPr>
                <w:rFonts w:eastAsia="Times New Roman"/>
                <w:sz w:val="22"/>
                <w:szCs w:val="22"/>
              </w:rPr>
            </w:pPr>
            <w:r w:rsidRPr="00A464CF">
              <w:rPr>
                <w:rFonts w:eastAsia="Times New Roman"/>
                <w:sz w:val="22"/>
                <w:szCs w:val="22"/>
              </w:rPr>
              <w:t>Đã hoàn thành nhiệm vụ Thủ tướng Chính phủ giao về xây dựng và hoàn thiện Suất vốn đầu tư xây dựng công trình đường ô tô cao tốc và đã đưa vào Tập Suất vốn đầu tư xây dựng công trình và Giá xây dựng tổng hợp bộ phận kết cấu công trình 2018 để các chủ thể có liên quan áp dụng</w:t>
            </w:r>
            <w:r w:rsidRPr="00A464CF">
              <w:rPr>
                <w:rFonts w:eastAsia="Times New Roman"/>
                <w:sz w:val="22"/>
                <w:szCs w:val="22"/>
                <w:vertAlign w:val="superscript"/>
              </w:rPr>
              <w:footnoteReference w:id="19"/>
            </w:r>
            <w:r w:rsidRPr="00A464CF">
              <w:rPr>
                <w:rFonts w:eastAsia="Times New Roman"/>
                <w:sz w:val="22"/>
                <w:szCs w:val="22"/>
              </w:rPr>
              <w:t>.</w:t>
            </w:r>
          </w:p>
          <w:p w14:paraId="170C1DF4" w14:textId="77777777" w:rsidR="00BA3835" w:rsidRPr="00A464CF" w:rsidRDefault="00BA3835" w:rsidP="00BA3835">
            <w:pPr>
              <w:jc w:val="both"/>
              <w:rPr>
                <w:rFonts w:eastAsia="Times New Roman"/>
                <w:sz w:val="22"/>
                <w:szCs w:val="22"/>
              </w:rPr>
            </w:pPr>
            <w:r w:rsidRPr="00A464CF">
              <w:rPr>
                <w:rFonts w:eastAsia="Times New Roman"/>
                <w:sz w:val="22"/>
                <w:szCs w:val="22"/>
              </w:rPr>
              <w:t>+ Bộ Xây dựng đã ký hợp đồng với nhà thầu xây dựng hệ thống cơ sở dữ liệu về định mức, giá xây dựng và dịch vụ đô thị.</w:t>
            </w:r>
          </w:p>
          <w:p w14:paraId="46E5CA0B" w14:textId="77777777" w:rsidR="00BA3835" w:rsidRPr="00A464CF" w:rsidRDefault="00BA3835" w:rsidP="00BA3835">
            <w:pPr>
              <w:jc w:val="both"/>
              <w:rPr>
                <w:rFonts w:eastAsia="Times New Roman"/>
                <w:sz w:val="22"/>
                <w:szCs w:val="22"/>
              </w:rPr>
            </w:pPr>
            <w:r w:rsidRPr="00A464CF">
              <w:rPr>
                <w:rFonts w:eastAsia="Times New Roman"/>
                <w:sz w:val="22"/>
                <w:szCs w:val="22"/>
              </w:rPr>
              <w:t xml:space="preserve">- Về hoàn thiện hệ thống tiêu chuẩn, quy chuẩn kỹ thuật ngành xây dựng: Thủ tướng Chỉnh phủ đã phê duyệt Đề án “Hoàn thiện hệ thống tiêu chuẩn, quy chuẩn kỹ thuật xây dựng” (Quyết định số 198/QĐ-TTg ngày 09/02/2018). Theo đó, Bộ Xây dựng đã phê duyệt Kế hoạch triển khai thực hiện Đề án, bao gồm 11 nhiệm vụ cụ thể. Các bộ, ngành đã họp bàn và thống nhất sẽ rút gọn 29 quy chuẩn xây dựng hiện hành xuống còn khoảng 13 quy chuẩn (QCVN). </w:t>
            </w:r>
          </w:p>
          <w:p w14:paraId="7884EEDF" w14:textId="77777777" w:rsidR="00BA3835" w:rsidRPr="00A464CF" w:rsidRDefault="00BA3835" w:rsidP="00BA3835">
            <w:pPr>
              <w:jc w:val="both"/>
              <w:rPr>
                <w:rFonts w:eastAsia="Times New Roman"/>
                <w:sz w:val="22"/>
                <w:szCs w:val="22"/>
              </w:rPr>
            </w:pPr>
            <w:r w:rsidRPr="00A464CF">
              <w:rPr>
                <w:rFonts w:eastAsia="Times New Roman"/>
                <w:sz w:val="22"/>
                <w:szCs w:val="22"/>
              </w:rPr>
              <w:t xml:space="preserve">+ Về hệ thống tiêu chuẩn, số liệu do Tổng cục Đo lường Chất lượng và Viện Khoa học công nghệ xây dựng cung cấp có khoảng 1.504 tiêu chuẩn xây dựng (TCVN). Nhưng qua rà soát đã phát hiện 256 tiêu chuẩn trùng lặp nên thực tế chỉ còn 1.248 tiêu chuẩn. </w:t>
            </w:r>
            <w:r w:rsidRPr="00A464CF">
              <w:rPr>
                <w:rFonts w:eastAsia="Times New Roman"/>
                <w:sz w:val="22"/>
                <w:szCs w:val="22"/>
              </w:rPr>
              <w:lastRenderedPageBreak/>
              <w:t>Trong đó, Bộ Xây dựng sẽ chịu trách nhiệm biên soạn khoảng 1.068 tiêu chuẩn. Các bộ, ngành khác sẽ biên soạn khoảng 180 tiêu chuẩn còn lại.</w:t>
            </w:r>
          </w:p>
          <w:p w14:paraId="271DA6DA" w14:textId="768D0C2B" w:rsidR="00DB1D87" w:rsidRPr="00A464CF" w:rsidRDefault="00DB1D87" w:rsidP="00DB1D87">
            <w:pPr>
              <w:jc w:val="both"/>
              <w:rPr>
                <w:rFonts w:eastAsia="Times New Roman"/>
                <w:sz w:val="22"/>
                <w:szCs w:val="22"/>
              </w:rPr>
            </w:pPr>
          </w:p>
          <w:p w14:paraId="75F7C2C4" w14:textId="4AD9F876" w:rsidR="00BA3835" w:rsidRPr="00A464CF" w:rsidRDefault="00BA3835" w:rsidP="00DB1D87">
            <w:pPr>
              <w:jc w:val="both"/>
              <w:rPr>
                <w:rFonts w:eastAsia="Times New Roman"/>
                <w:sz w:val="22"/>
                <w:szCs w:val="22"/>
              </w:rPr>
            </w:pPr>
          </w:p>
        </w:tc>
        <w:tc>
          <w:tcPr>
            <w:tcW w:w="1306" w:type="dxa"/>
            <w:shd w:val="clear" w:color="auto" w:fill="auto"/>
            <w:vAlign w:val="center"/>
            <w:hideMark/>
          </w:tcPr>
          <w:p w14:paraId="3CF7D489" w14:textId="77777777" w:rsidR="00DB1D87" w:rsidRPr="00A464CF" w:rsidRDefault="00DB1D87" w:rsidP="00DB1D87">
            <w:pPr>
              <w:rPr>
                <w:rFonts w:eastAsia="Times New Roman"/>
                <w:sz w:val="22"/>
                <w:szCs w:val="22"/>
              </w:rPr>
            </w:pPr>
            <w:r w:rsidRPr="00A464CF">
              <w:rPr>
                <w:rFonts w:eastAsia="Times New Roman"/>
                <w:sz w:val="22"/>
                <w:szCs w:val="22"/>
              </w:rPr>
              <w:lastRenderedPageBreak/>
              <w:t>Đã triển khai và có kết quả rõ ràng</w:t>
            </w:r>
          </w:p>
        </w:tc>
      </w:tr>
      <w:tr w:rsidR="00A464CF" w:rsidRPr="00A464CF" w14:paraId="1281E912" w14:textId="77777777" w:rsidTr="00AA2D1A">
        <w:trPr>
          <w:trHeight w:val="1053"/>
        </w:trPr>
        <w:tc>
          <w:tcPr>
            <w:tcW w:w="708" w:type="dxa"/>
            <w:shd w:val="clear" w:color="auto" w:fill="auto"/>
            <w:noWrap/>
            <w:vAlign w:val="center"/>
            <w:hideMark/>
          </w:tcPr>
          <w:p w14:paraId="6CACE460" w14:textId="77777777" w:rsidR="00DB1D87" w:rsidRPr="00A464CF" w:rsidRDefault="00DB1D87" w:rsidP="00DB1D87">
            <w:pPr>
              <w:jc w:val="center"/>
              <w:rPr>
                <w:rFonts w:eastAsia="Times New Roman"/>
                <w:sz w:val="22"/>
                <w:szCs w:val="22"/>
              </w:rPr>
            </w:pPr>
            <w:r w:rsidRPr="00A464CF">
              <w:rPr>
                <w:rFonts w:eastAsia="Times New Roman"/>
                <w:sz w:val="22"/>
                <w:szCs w:val="22"/>
              </w:rPr>
              <w:lastRenderedPageBreak/>
              <w:t>10</w:t>
            </w:r>
          </w:p>
        </w:tc>
        <w:tc>
          <w:tcPr>
            <w:tcW w:w="5378" w:type="dxa"/>
            <w:shd w:val="clear" w:color="auto" w:fill="auto"/>
            <w:vAlign w:val="center"/>
            <w:hideMark/>
          </w:tcPr>
          <w:p w14:paraId="3FC2313C" w14:textId="77777777" w:rsidR="00DB1D87" w:rsidRPr="00A464CF" w:rsidRDefault="00DB1D87" w:rsidP="00DB1D87">
            <w:pPr>
              <w:jc w:val="both"/>
              <w:rPr>
                <w:rFonts w:eastAsia="Times New Roman"/>
                <w:sz w:val="22"/>
                <w:szCs w:val="22"/>
              </w:rPr>
            </w:pPr>
            <w:r w:rsidRPr="00A464CF">
              <w:rPr>
                <w:rFonts w:eastAsia="Times New Roman"/>
                <w:sz w:val="22"/>
                <w:szCs w:val="22"/>
              </w:rPr>
              <w:t>Xây dựng cơ sở dữ liệu giá xây dựng, thực hiện công bố chỉ số giá xây dựng trên cả nước theo đúng quy định</w:t>
            </w:r>
          </w:p>
        </w:tc>
        <w:tc>
          <w:tcPr>
            <w:tcW w:w="7771" w:type="dxa"/>
            <w:shd w:val="clear" w:color="auto" w:fill="auto"/>
            <w:vAlign w:val="center"/>
            <w:hideMark/>
          </w:tcPr>
          <w:p w14:paraId="17E7961A" w14:textId="1073D38A" w:rsidR="00DB1D87" w:rsidRPr="00A464CF" w:rsidRDefault="00DB1D87" w:rsidP="00BA3835">
            <w:pPr>
              <w:jc w:val="both"/>
              <w:rPr>
                <w:rFonts w:eastAsia="Times New Roman"/>
                <w:sz w:val="22"/>
                <w:szCs w:val="22"/>
              </w:rPr>
            </w:pPr>
            <w:r w:rsidRPr="00A464CF">
              <w:rPr>
                <w:rFonts w:eastAsia="Times New Roman"/>
                <w:sz w:val="22"/>
                <w:szCs w:val="22"/>
              </w:rPr>
              <w:t xml:space="preserve">Bộ Xây dựng thường xuyên rà soát hệ thống định mức xây dựng để công bố áp dụng, đến nay Bộ Xây dựng đã công bố được hơn </w:t>
            </w:r>
            <w:r w:rsidR="00BA3835" w:rsidRPr="00A464CF">
              <w:rPr>
                <w:rFonts w:eastAsia="Times New Roman"/>
                <w:sz w:val="22"/>
                <w:szCs w:val="22"/>
              </w:rPr>
              <w:t>16.000</w:t>
            </w:r>
            <w:r w:rsidRPr="00A464CF">
              <w:rPr>
                <w:rFonts w:eastAsia="Times New Roman"/>
                <w:sz w:val="22"/>
                <w:szCs w:val="22"/>
              </w:rPr>
              <w:t xml:space="preserve"> định mức phục vụ cho việc xác định giá xây dựng. Bộ Xây dựng đã tổ chức xác định, lấy ý kiến các Bộ, ngành, địa phương hoàn thiện và ban hành tập Suất vốn đầu tư và Giá xây dựng tổng hợp bộ phận kết cấu công trình hàng năm. Bộ cũng đã xây dựng chỉ số giá xây dựng quốc gia gửi Tổng cục Thống kê công bố áp dụng trên phạm vi cả nước theo đúng quy định.</w:t>
            </w:r>
          </w:p>
        </w:tc>
        <w:tc>
          <w:tcPr>
            <w:tcW w:w="1306" w:type="dxa"/>
            <w:shd w:val="clear" w:color="auto" w:fill="auto"/>
            <w:vAlign w:val="center"/>
            <w:hideMark/>
          </w:tcPr>
          <w:p w14:paraId="2A762BFA"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rõ ràng</w:t>
            </w:r>
          </w:p>
        </w:tc>
      </w:tr>
      <w:tr w:rsidR="00A464CF" w:rsidRPr="00A464CF" w14:paraId="565DF0B2" w14:textId="77777777" w:rsidTr="00AA2D1A">
        <w:trPr>
          <w:trHeight w:val="2543"/>
        </w:trPr>
        <w:tc>
          <w:tcPr>
            <w:tcW w:w="708" w:type="dxa"/>
            <w:shd w:val="clear" w:color="auto" w:fill="auto"/>
            <w:noWrap/>
            <w:vAlign w:val="center"/>
            <w:hideMark/>
          </w:tcPr>
          <w:p w14:paraId="1CD70373" w14:textId="77777777" w:rsidR="00DB1D87" w:rsidRPr="00A464CF" w:rsidRDefault="00DB1D87" w:rsidP="00DB1D87">
            <w:pPr>
              <w:jc w:val="right"/>
              <w:rPr>
                <w:rFonts w:eastAsia="Times New Roman"/>
                <w:sz w:val="22"/>
                <w:szCs w:val="22"/>
              </w:rPr>
            </w:pPr>
            <w:r w:rsidRPr="00A464CF">
              <w:rPr>
                <w:rFonts w:eastAsia="Times New Roman"/>
                <w:sz w:val="22"/>
                <w:szCs w:val="22"/>
              </w:rPr>
              <w:t>11</w:t>
            </w:r>
          </w:p>
        </w:tc>
        <w:tc>
          <w:tcPr>
            <w:tcW w:w="5378" w:type="dxa"/>
            <w:shd w:val="clear" w:color="auto" w:fill="auto"/>
            <w:vAlign w:val="center"/>
            <w:hideMark/>
          </w:tcPr>
          <w:p w14:paraId="7FAC172F" w14:textId="77777777" w:rsidR="00DB1D87" w:rsidRPr="00A464CF" w:rsidRDefault="00DB1D87" w:rsidP="00DB1D87">
            <w:pPr>
              <w:jc w:val="both"/>
              <w:rPr>
                <w:rFonts w:eastAsia="Times New Roman"/>
                <w:sz w:val="22"/>
                <w:szCs w:val="22"/>
              </w:rPr>
            </w:pPr>
            <w:r w:rsidRPr="00A464CF">
              <w:rPr>
                <w:rFonts w:eastAsia="Times New Roman"/>
                <w:sz w:val="22"/>
                <w:szCs w:val="22"/>
              </w:rPr>
              <w:t>Rà soát, sửa đổi, bổ sung, ban hành theo thẩm quyền các quy chuẩn, tiêu chuẩn, định mức kinh tế - kỹ thuật xây dựng chuyên ngành đảm bảo đồng bộ đáp ứng yêu cầu quản lý</w:t>
            </w:r>
          </w:p>
        </w:tc>
        <w:tc>
          <w:tcPr>
            <w:tcW w:w="7771" w:type="dxa"/>
            <w:shd w:val="clear" w:color="auto" w:fill="auto"/>
            <w:vAlign w:val="center"/>
            <w:hideMark/>
          </w:tcPr>
          <w:p w14:paraId="08026010" w14:textId="77777777" w:rsidR="00DB1D87" w:rsidRPr="00A464CF" w:rsidRDefault="00DB1D87" w:rsidP="00DB1D87">
            <w:pPr>
              <w:jc w:val="both"/>
              <w:rPr>
                <w:rFonts w:eastAsia="Times New Roman"/>
                <w:sz w:val="22"/>
                <w:szCs w:val="22"/>
              </w:rPr>
            </w:pPr>
            <w:r w:rsidRPr="00A464CF">
              <w:rPr>
                <w:rFonts w:eastAsia="Times New Roman"/>
                <w:sz w:val="22"/>
                <w:szCs w:val="22"/>
              </w:rPr>
              <w:t>Một số Bộ, ngành đã ban hành các quy chuẩn, tiêu chuẩn, định mức kinh tế- kỹ thuật chuyên ngành thuộc phạm vi quản lý. Bộ Tài nguyên và Môi trường đã triển khai thực hiện Thông tư số 35/2017/TT-BTC ngày 25/4/2017 quy định mức thu, chế độ thu, nộp, quản lý và sử dụng phí thẩm định phương án cải tạo và phục hồi môi trường, phương án cải tạo, phục hồi môi trường bổ sung do cơ quan Trung ương thực hiện thẩm định; đã hướng dẫn các tỉnh, thành phố trực thuộc Trung ương triển khai Thông tư số 30/2016/TT-BTNMT ngày 12/10/2016 về quản lý, cải tạo và phục hồi môi trường khu vực đất bị ô nhiễm tồn lưu; ban hành Thông tư 20/2017/TT-BTNMT ngày 8/8/2017 về Định mức kinh tế - kỹ thuật hoạt động quan trắc môi trường; ban hành Thông tư số 30/2017/TT-BTNMT ngày 11/9/2017 Ban hành định mức kinh tế - kỹ thuật điều tra, đánh giá tài nguyên nước.</w:t>
            </w:r>
            <w:r w:rsidRPr="00A464CF">
              <w:rPr>
                <w:rFonts w:eastAsia="Times New Roman"/>
                <w:sz w:val="22"/>
                <w:szCs w:val="22"/>
              </w:rPr>
              <w:br w:type="page"/>
              <w:t>Bộ Giao thông vận tải đã ban hành 3 tiêu chuẩn cơ sở, phối hợp với Bộ Khoa học và Công nghệ ban hành, công bố 14 tiêu chuẩn Việt Nam, tích cực triển khai thử nghiệm, ứng dụng công nghệ mới, vật liệu mới, kết quả nghiên cứu ứng dụng đề tài trong công tác xây dựng, bảo trì công trình giao thông.</w:t>
            </w:r>
            <w:r w:rsidRPr="00A464CF">
              <w:rPr>
                <w:rFonts w:eastAsia="Times New Roman"/>
                <w:sz w:val="22"/>
                <w:szCs w:val="22"/>
              </w:rPr>
              <w:br w:type="page"/>
              <w:t>Bộ Khoa học và Công nghệ công bố hơn 900 Tiêu chuẩn quốc gia, trong đó có 530 Tiêu chuẩn Việt Nam do Bộ xây dựng và hơn 400 Tiêu chuẩn Việt Nam do các bộ, ngành khác xây dựng. Bộ cũng sửa đổi, xây dựng mới 9 quy chuẩn kỹ thuật quốc gia và phối hợp chặt chẽ với các Bộ, ngành khác để hoàn thiện hệ thống tiêu chuẩn, quy chuẩn, kỹ thuật chuyên ngành; tiếp nhận, thẩm tra hồ sơ và thẩm định 71 dự thảo quy chuẩn Việt Nam của các Bộ, ngành đề nghị; tham gia ban soạn thảo và góp ý xây dựng dự thảo 65 quy chuẩn Việt Nam.</w:t>
            </w:r>
          </w:p>
        </w:tc>
        <w:tc>
          <w:tcPr>
            <w:tcW w:w="1306" w:type="dxa"/>
            <w:shd w:val="clear" w:color="auto" w:fill="auto"/>
            <w:vAlign w:val="center"/>
            <w:hideMark/>
          </w:tcPr>
          <w:p w14:paraId="5E2BEE33"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6C1D699C" w14:textId="77777777" w:rsidTr="00AA2D1A">
        <w:trPr>
          <w:trHeight w:val="60"/>
        </w:trPr>
        <w:tc>
          <w:tcPr>
            <w:tcW w:w="708" w:type="dxa"/>
            <w:shd w:val="clear" w:color="auto" w:fill="auto"/>
            <w:noWrap/>
            <w:vAlign w:val="center"/>
            <w:hideMark/>
          </w:tcPr>
          <w:p w14:paraId="6CE7B228" w14:textId="77777777" w:rsidR="00DB1D87" w:rsidRPr="00A464CF" w:rsidRDefault="00DB1D87" w:rsidP="00DB1D87">
            <w:pPr>
              <w:jc w:val="center"/>
              <w:rPr>
                <w:rFonts w:eastAsia="Times New Roman"/>
                <w:sz w:val="22"/>
                <w:szCs w:val="22"/>
              </w:rPr>
            </w:pPr>
            <w:r w:rsidRPr="00A464CF">
              <w:rPr>
                <w:rFonts w:eastAsia="Times New Roman"/>
                <w:sz w:val="22"/>
                <w:szCs w:val="22"/>
              </w:rPr>
              <w:t>12</w:t>
            </w:r>
          </w:p>
        </w:tc>
        <w:tc>
          <w:tcPr>
            <w:tcW w:w="5378" w:type="dxa"/>
            <w:shd w:val="clear" w:color="auto" w:fill="auto"/>
            <w:vAlign w:val="center"/>
            <w:hideMark/>
          </w:tcPr>
          <w:p w14:paraId="0FAA8C0A" w14:textId="77777777" w:rsidR="00DB1D87" w:rsidRPr="00A464CF" w:rsidRDefault="00DB1D87" w:rsidP="00DB1D87">
            <w:pPr>
              <w:jc w:val="both"/>
              <w:rPr>
                <w:rFonts w:eastAsia="Times New Roman"/>
                <w:sz w:val="22"/>
                <w:szCs w:val="22"/>
              </w:rPr>
            </w:pPr>
            <w:r w:rsidRPr="00A464CF">
              <w:rPr>
                <w:rFonts w:eastAsia="Times New Roman"/>
                <w:sz w:val="22"/>
                <w:szCs w:val="22"/>
              </w:rPr>
              <w:t>Rà soát, hoàn thiện hệ thống quy chuẩn, tiêu chuẩn, định mức kinh tế - kỹ thuật, đơn giá xây dựng, suất đầu tư của các ngành kinh tế để quản lý chặt chẽ, tiết kiệm đầu tư công</w:t>
            </w:r>
          </w:p>
        </w:tc>
        <w:tc>
          <w:tcPr>
            <w:tcW w:w="7771" w:type="dxa"/>
            <w:shd w:val="clear" w:color="auto" w:fill="auto"/>
            <w:vAlign w:val="center"/>
            <w:hideMark/>
          </w:tcPr>
          <w:p w14:paraId="1CCB1781" w14:textId="77777777" w:rsidR="00DB1D87" w:rsidRPr="00A464CF" w:rsidRDefault="00DB1D87" w:rsidP="00DB1D87">
            <w:pPr>
              <w:jc w:val="both"/>
              <w:rPr>
                <w:rFonts w:eastAsia="Times New Roman"/>
                <w:sz w:val="22"/>
                <w:szCs w:val="22"/>
              </w:rPr>
            </w:pPr>
            <w:r w:rsidRPr="00A464CF">
              <w:rPr>
                <w:rFonts w:eastAsia="Times New Roman"/>
                <w:sz w:val="22"/>
                <w:szCs w:val="22"/>
              </w:rPr>
              <w:t xml:space="preserve">Nhiều Bộ, ngành đã rà soát, hoàn thiện hệ thống quy chuẩn, tiêu chuẩn, định mức kinh tế- kỹ thuật, đơn giá xây dựng, suất đầu tư của các ngành kinh tế. Tuy nhiên, một số quy chuẩn, tiêu chuẩn, định mức, đơn giá, suất đầu tư trong một số ngành, lĩnh vực chậm đổi mới. Việc xây dựng đơn giá xây dựng, suất đầu tư của các công trình giao </w:t>
            </w:r>
            <w:r w:rsidRPr="00A464CF">
              <w:rPr>
                <w:rFonts w:eastAsia="Times New Roman"/>
                <w:sz w:val="22"/>
                <w:szCs w:val="22"/>
              </w:rPr>
              <w:lastRenderedPageBreak/>
              <w:t>thông chưa được thực hiện tốt. Định mức chi khoa học và công nghệ chưa có nhiều đổi mới.</w:t>
            </w:r>
          </w:p>
        </w:tc>
        <w:tc>
          <w:tcPr>
            <w:tcW w:w="1306" w:type="dxa"/>
            <w:shd w:val="clear" w:color="auto" w:fill="auto"/>
            <w:vAlign w:val="center"/>
            <w:hideMark/>
          </w:tcPr>
          <w:p w14:paraId="3651685C" w14:textId="77777777" w:rsidR="00DB1D87" w:rsidRPr="00A464CF" w:rsidRDefault="00DB1D87" w:rsidP="00DB1D87">
            <w:pPr>
              <w:rPr>
                <w:rFonts w:eastAsia="Times New Roman"/>
                <w:sz w:val="22"/>
                <w:szCs w:val="22"/>
              </w:rPr>
            </w:pPr>
            <w:r w:rsidRPr="00A464CF">
              <w:rPr>
                <w:rFonts w:eastAsia="Times New Roman"/>
                <w:sz w:val="22"/>
                <w:szCs w:val="22"/>
              </w:rPr>
              <w:lastRenderedPageBreak/>
              <w:t>Đã triển khai và có kết quả bước đầu</w:t>
            </w:r>
          </w:p>
        </w:tc>
      </w:tr>
      <w:tr w:rsidR="00A464CF" w:rsidRPr="00A464CF" w14:paraId="3236C773" w14:textId="77777777" w:rsidTr="00AA2D1A">
        <w:trPr>
          <w:trHeight w:val="60"/>
        </w:trPr>
        <w:tc>
          <w:tcPr>
            <w:tcW w:w="708" w:type="dxa"/>
            <w:shd w:val="clear" w:color="auto" w:fill="auto"/>
            <w:noWrap/>
            <w:vAlign w:val="center"/>
            <w:hideMark/>
          </w:tcPr>
          <w:p w14:paraId="3F697DDB" w14:textId="77777777" w:rsidR="00DB1D87" w:rsidRPr="00A464CF" w:rsidRDefault="00DB1D87" w:rsidP="00DB1D87">
            <w:pPr>
              <w:jc w:val="center"/>
              <w:rPr>
                <w:rFonts w:eastAsia="Times New Roman"/>
                <w:b/>
                <w:bCs/>
                <w:sz w:val="22"/>
                <w:szCs w:val="22"/>
              </w:rPr>
            </w:pPr>
            <w:r w:rsidRPr="00A464CF">
              <w:rPr>
                <w:rFonts w:eastAsia="Times New Roman"/>
                <w:b/>
                <w:bCs/>
                <w:sz w:val="22"/>
                <w:szCs w:val="22"/>
              </w:rPr>
              <w:lastRenderedPageBreak/>
              <w:t>IX</w:t>
            </w:r>
          </w:p>
        </w:tc>
        <w:tc>
          <w:tcPr>
            <w:tcW w:w="14455" w:type="dxa"/>
            <w:gridSpan w:val="3"/>
            <w:shd w:val="clear" w:color="auto" w:fill="auto"/>
            <w:vAlign w:val="center"/>
            <w:hideMark/>
          </w:tcPr>
          <w:p w14:paraId="4D0E21E2" w14:textId="77777777" w:rsidR="00DB1D87" w:rsidRPr="00A464CF" w:rsidRDefault="00DB1D87" w:rsidP="00DB1D87">
            <w:pPr>
              <w:rPr>
                <w:rFonts w:eastAsia="Times New Roman"/>
                <w:b/>
                <w:bCs/>
                <w:sz w:val="22"/>
                <w:szCs w:val="22"/>
              </w:rPr>
            </w:pPr>
            <w:r w:rsidRPr="00A464CF">
              <w:rPr>
                <w:rFonts w:eastAsia="Times New Roman"/>
                <w:b/>
                <w:bCs/>
                <w:sz w:val="22"/>
                <w:szCs w:val="22"/>
              </w:rPr>
              <w:t>Đổi mới, cơ cấu lại khu vực sự nghiệp công lập</w:t>
            </w:r>
          </w:p>
        </w:tc>
      </w:tr>
      <w:tr w:rsidR="00A464CF" w:rsidRPr="00A464CF" w14:paraId="0E5B0203" w14:textId="77777777" w:rsidTr="00AA2D1A">
        <w:trPr>
          <w:trHeight w:val="70"/>
        </w:trPr>
        <w:tc>
          <w:tcPr>
            <w:tcW w:w="708" w:type="dxa"/>
            <w:shd w:val="clear" w:color="auto" w:fill="auto"/>
            <w:noWrap/>
            <w:vAlign w:val="center"/>
            <w:hideMark/>
          </w:tcPr>
          <w:p w14:paraId="7A8E5347" w14:textId="77777777" w:rsidR="00DB1D87" w:rsidRPr="00A464CF" w:rsidRDefault="00DB1D87" w:rsidP="00DB1D87">
            <w:pPr>
              <w:jc w:val="center"/>
              <w:rPr>
                <w:rFonts w:eastAsia="Times New Roman"/>
                <w:sz w:val="22"/>
                <w:szCs w:val="22"/>
              </w:rPr>
            </w:pPr>
            <w:r w:rsidRPr="00A464CF">
              <w:rPr>
                <w:rFonts w:eastAsia="Times New Roman"/>
                <w:sz w:val="22"/>
                <w:szCs w:val="22"/>
              </w:rPr>
              <w:t>1</w:t>
            </w:r>
          </w:p>
        </w:tc>
        <w:tc>
          <w:tcPr>
            <w:tcW w:w="5378" w:type="dxa"/>
            <w:shd w:val="clear" w:color="auto" w:fill="auto"/>
            <w:vAlign w:val="center"/>
            <w:hideMark/>
          </w:tcPr>
          <w:p w14:paraId="411DB617" w14:textId="77777777" w:rsidR="00DB1D87" w:rsidRPr="00A464CF" w:rsidRDefault="00DB1D87" w:rsidP="00DB1D87">
            <w:pPr>
              <w:jc w:val="both"/>
              <w:rPr>
                <w:rFonts w:eastAsia="Times New Roman"/>
                <w:sz w:val="22"/>
                <w:szCs w:val="22"/>
              </w:rPr>
            </w:pPr>
            <w:r w:rsidRPr="00A464CF">
              <w:rPr>
                <w:rFonts w:eastAsia="Times New Roman"/>
                <w:sz w:val="22"/>
                <w:szCs w:val="22"/>
              </w:rPr>
              <w:t>Trước tháng 6 năm 2017 rà soát, tập hợp và phân loại các đơn vị sự nghiệp công lập trong ngành, lĩnh vực và địa phương thuộc thẩm quyền quản lý; xác định các loại dịch vụ được chi trả hoàn toàn bằng ngân sách, dịch vụ do người tiêu dùng chi trả một phần và các dịch vụ do người tiêu dùng chi trả toàn phần</w:t>
            </w:r>
          </w:p>
        </w:tc>
        <w:tc>
          <w:tcPr>
            <w:tcW w:w="7771" w:type="dxa"/>
            <w:shd w:val="clear" w:color="auto" w:fill="auto"/>
            <w:vAlign w:val="center"/>
            <w:hideMark/>
          </w:tcPr>
          <w:p w14:paraId="2BDF6E64" w14:textId="1AE5FC25" w:rsidR="00DB1D87" w:rsidRPr="00A464CF" w:rsidRDefault="00DB1D87" w:rsidP="00DB1D87">
            <w:pPr>
              <w:jc w:val="both"/>
              <w:rPr>
                <w:rFonts w:eastAsia="Times New Roman"/>
                <w:sz w:val="22"/>
                <w:szCs w:val="22"/>
              </w:rPr>
            </w:pPr>
            <w:r w:rsidRPr="00A464CF">
              <w:rPr>
                <w:rFonts w:eastAsia="Times New Roman"/>
                <w:sz w:val="22"/>
                <w:szCs w:val="22"/>
              </w:rPr>
              <w:t>Thủ tướng Chính phủ đã ban hành danh mục dịch vụ sự nghiệp công sử dụng ngân sách Nhà nước trong nhiều ngành, lĩnh vực thuộc phạm vi quản lý của NHNN, Bộ Lao động, Thương binh và Xã hội, Bộ Tài nguyên và Môi trường, Bộ Y tế,…</w:t>
            </w:r>
          </w:p>
        </w:tc>
        <w:tc>
          <w:tcPr>
            <w:tcW w:w="1306" w:type="dxa"/>
            <w:shd w:val="clear" w:color="auto" w:fill="auto"/>
            <w:vAlign w:val="center"/>
            <w:hideMark/>
          </w:tcPr>
          <w:p w14:paraId="359ACA98"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rõ ràng</w:t>
            </w:r>
          </w:p>
        </w:tc>
      </w:tr>
      <w:tr w:rsidR="00A464CF" w:rsidRPr="00A464CF" w14:paraId="6B772533" w14:textId="77777777" w:rsidTr="00AA2D1A">
        <w:trPr>
          <w:trHeight w:val="60"/>
        </w:trPr>
        <w:tc>
          <w:tcPr>
            <w:tcW w:w="708" w:type="dxa"/>
            <w:shd w:val="clear" w:color="auto" w:fill="auto"/>
            <w:noWrap/>
            <w:vAlign w:val="center"/>
            <w:hideMark/>
          </w:tcPr>
          <w:p w14:paraId="5468E9EE" w14:textId="77777777" w:rsidR="00DB1D87" w:rsidRPr="00A464CF" w:rsidRDefault="00DB1D87" w:rsidP="00DB1D87">
            <w:pPr>
              <w:jc w:val="center"/>
              <w:rPr>
                <w:rFonts w:eastAsia="Times New Roman"/>
                <w:sz w:val="22"/>
                <w:szCs w:val="22"/>
              </w:rPr>
            </w:pPr>
            <w:r w:rsidRPr="00A464CF">
              <w:rPr>
                <w:rFonts w:eastAsia="Times New Roman"/>
                <w:sz w:val="22"/>
                <w:szCs w:val="22"/>
              </w:rPr>
              <w:t>2</w:t>
            </w:r>
          </w:p>
        </w:tc>
        <w:tc>
          <w:tcPr>
            <w:tcW w:w="5378" w:type="dxa"/>
            <w:shd w:val="clear" w:color="auto" w:fill="auto"/>
            <w:vAlign w:val="center"/>
            <w:hideMark/>
          </w:tcPr>
          <w:p w14:paraId="57E33C2E" w14:textId="7ECA4F1A" w:rsidR="00DB1D87" w:rsidRPr="00A464CF" w:rsidRDefault="00DB1D87" w:rsidP="00DB1D87">
            <w:pPr>
              <w:jc w:val="both"/>
              <w:rPr>
                <w:rFonts w:eastAsia="Times New Roman"/>
                <w:sz w:val="22"/>
                <w:szCs w:val="22"/>
              </w:rPr>
            </w:pPr>
            <w:r w:rsidRPr="00A464CF">
              <w:rPr>
                <w:rFonts w:eastAsia="Times New Roman"/>
                <w:sz w:val="22"/>
                <w:szCs w:val="22"/>
              </w:rPr>
              <w:t>Hoàn thành tính đúng, tính đủ chi phí hợp lý đối với giá các loại dịch vụ được ngân sách Nhà nước chi trả toàn phần hoặc một phần và giá các dịch vụ có sự điều tiết của Nhà nước; điều chỉnh giá các loại dịch vụ công theo cơ chế thị trường gắn với hỗ trợ đối tượng chính sách và người nghèo; đồng thời thực hiện giao quyền tự chủ đầy đủ về tài chính, tổ chức, biên chế và hoạt động cho các đơn vị cung cấp các loại dịch vụ nói trên.</w:t>
            </w:r>
          </w:p>
        </w:tc>
        <w:tc>
          <w:tcPr>
            <w:tcW w:w="7771" w:type="dxa"/>
            <w:shd w:val="clear" w:color="auto" w:fill="auto"/>
            <w:vAlign w:val="center"/>
            <w:hideMark/>
          </w:tcPr>
          <w:p w14:paraId="4388A00E" w14:textId="77777777" w:rsidR="00DB1D87" w:rsidRPr="00A464CF" w:rsidRDefault="00DB1D87" w:rsidP="00DB1D87">
            <w:pPr>
              <w:jc w:val="both"/>
              <w:rPr>
                <w:rFonts w:eastAsia="Times New Roman"/>
                <w:sz w:val="22"/>
                <w:szCs w:val="22"/>
              </w:rPr>
            </w:pPr>
            <w:r w:rsidRPr="00A464CF">
              <w:rPr>
                <w:rFonts w:eastAsia="Times New Roman"/>
                <w:sz w:val="22"/>
                <w:szCs w:val="22"/>
              </w:rPr>
              <w:t>Các Bộ tiếp tục rà soát, điều chỉnh mức giá dịch vụ đảm bảo tính đúng, tính đủ chi phí hợp lý, đặc biệt trong lĩnh vực giáo dục- đào tạo (Bộ Giáo dục Đào tạo và Bộ Lao động, Thương binh và Xã hội), y tế (Bộ Y tế)</w:t>
            </w:r>
          </w:p>
        </w:tc>
        <w:tc>
          <w:tcPr>
            <w:tcW w:w="1306" w:type="dxa"/>
            <w:shd w:val="clear" w:color="auto" w:fill="auto"/>
            <w:vAlign w:val="center"/>
            <w:hideMark/>
          </w:tcPr>
          <w:p w14:paraId="6B710FC7"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0C49FADA" w14:textId="77777777" w:rsidTr="00AA2D1A">
        <w:trPr>
          <w:trHeight w:val="60"/>
        </w:trPr>
        <w:tc>
          <w:tcPr>
            <w:tcW w:w="708" w:type="dxa"/>
            <w:shd w:val="clear" w:color="auto" w:fill="auto"/>
            <w:noWrap/>
            <w:vAlign w:val="center"/>
            <w:hideMark/>
          </w:tcPr>
          <w:p w14:paraId="54DB028C" w14:textId="77777777" w:rsidR="00DB1D87" w:rsidRPr="00A464CF" w:rsidRDefault="00DB1D87" w:rsidP="00DB1D87">
            <w:pPr>
              <w:jc w:val="center"/>
              <w:rPr>
                <w:rFonts w:eastAsia="Times New Roman"/>
                <w:sz w:val="22"/>
                <w:szCs w:val="22"/>
              </w:rPr>
            </w:pPr>
            <w:r w:rsidRPr="00A464CF">
              <w:rPr>
                <w:rFonts w:eastAsia="Times New Roman"/>
                <w:sz w:val="22"/>
                <w:szCs w:val="22"/>
              </w:rPr>
              <w:t>3</w:t>
            </w:r>
          </w:p>
        </w:tc>
        <w:tc>
          <w:tcPr>
            <w:tcW w:w="5378" w:type="dxa"/>
            <w:shd w:val="clear" w:color="auto" w:fill="auto"/>
            <w:vAlign w:val="center"/>
            <w:hideMark/>
          </w:tcPr>
          <w:p w14:paraId="70FD99C9" w14:textId="77777777" w:rsidR="00DB1D87" w:rsidRPr="00A464CF" w:rsidRDefault="00DB1D87" w:rsidP="00DB1D87">
            <w:pPr>
              <w:jc w:val="both"/>
              <w:rPr>
                <w:rFonts w:eastAsia="Times New Roman"/>
                <w:sz w:val="22"/>
                <w:szCs w:val="22"/>
              </w:rPr>
            </w:pPr>
            <w:r w:rsidRPr="00A464CF">
              <w:rPr>
                <w:rFonts w:eastAsia="Times New Roman"/>
                <w:sz w:val="22"/>
                <w:szCs w:val="22"/>
              </w:rPr>
              <w:t>Đối với các đơn vị và các loại dịch vụ công khác, thực hiện đầy đủ tự do hóa thị trường; các đơn vị dịch vụ công tương ứng được tự do kinh doanh, cung ứng dịch vụ công, tự chủ thỏa thuận và quyết định giá theo quy luật thị trường; đồng thời, nâng cao trách nhiệm xã hội của các đơn vị sự nghiệp</w:t>
            </w:r>
          </w:p>
        </w:tc>
        <w:tc>
          <w:tcPr>
            <w:tcW w:w="7771" w:type="dxa"/>
            <w:shd w:val="clear" w:color="auto" w:fill="auto"/>
            <w:vAlign w:val="center"/>
            <w:hideMark/>
          </w:tcPr>
          <w:p w14:paraId="4C01A78F" w14:textId="0F686C47" w:rsidR="00DB1D87" w:rsidRPr="00A464CF" w:rsidRDefault="00DB1D87" w:rsidP="00DB1D87">
            <w:pPr>
              <w:jc w:val="both"/>
              <w:rPr>
                <w:rFonts w:eastAsia="Times New Roman"/>
                <w:sz w:val="22"/>
                <w:szCs w:val="22"/>
              </w:rPr>
            </w:pPr>
            <w:r w:rsidRPr="00A464CF">
              <w:rPr>
                <w:rFonts w:eastAsia="Times New Roman"/>
                <w:sz w:val="22"/>
                <w:szCs w:val="22"/>
              </w:rPr>
              <w:t>Trong lĩnh vực giáo dục- đào tạo, y tế, dịch vụ nông nghiệp, giá một số dịch vụ từng bước được điều chỉnh theo theo cơ chế thị trường. Mức học phí đã được áp dụng theo giá thị trường với các cơ sở đào tạo ngoài Nhà nước và các cơ sở giáo dục thực hiện cơ chế tự chủ. Đối với các người sử dụng dịch vụ y tế tự nguyện, các cơ sở y tế ngoài Nhà nước, giá dịch vụ đã được thực hiện theo cơ chế thị trường. Giá các dịch vụ nông nghiệp đã thực hiện theo giá thị trường, các đơn vị dịch vụ công tương ứng được tự do kinh doanh, cung ứng dịch vụ công, tự chủ thỏa thuận và quyết định giá</w:t>
            </w:r>
          </w:p>
        </w:tc>
        <w:tc>
          <w:tcPr>
            <w:tcW w:w="1306" w:type="dxa"/>
            <w:shd w:val="clear" w:color="auto" w:fill="auto"/>
            <w:vAlign w:val="center"/>
            <w:hideMark/>
          </w:tcPr>
          <w:p w14:paraId="7685F662"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504673FE" w14:textId="77777777" w:rsidTr="00AA2D1A">
        <w:trPr>
          <w:trHeight w:val="184"/>
        </w:trPr>
        <w:tc>
          <w:tcPr>
            <w:tcW w:w="708" w:type="dxa"/>
            <w:shd w:val="clear" w:color="auto" w:fill="auto"/>
            <w:noWrap/>
            <w:vAlign w:val="center"/>
            <w:hideMark/>
          </w:tcPr>
          <w:p w14:paraId="0D292A61" w14:textId="77777777" w:rsidR="00DB1D87" w:rsidRPr="00A464CF" w:rsidRDefault="00DB1D87" w:rsidP="00DB1D87">
            <w:pPr>
              <w:jc w:val="center"/>
              <w:rPr>
                <w:rFonts w:eastAsia="Times New Roman"/>
                <w:sz w:val="22"/>
                <w:szCs w:val="22"/>
              </w:rPr>
            </w:pPr>
            <w:r w:rsidRPr="00A464CF">
              <w:rPr>
                <w:rFonts w:eastAsia="Times New Roman"/>
                <w:sz w:val="22"/>
                <w:szCs w:val="22"/>
              </w:rPr>
              <w:t>4</w:t>
            </w:r>
          </w:p>
        </w:tc>
        <w:tc>
          <w:tcPr>
            <w:tcW w:w="5378" w:type="dxa"/>
            <w:shd w:val="clear" w:color="auto" w:fill="auto"/>
            <w:vAlign w:val="center"/>
            <w:hideMark/>
          </w:tcPr>
          <w:p w14:paraId="7F4B9304" w14:textId="77777777" w:rsidR="00DB1D87" w:rsidRPr="00A464CF" w:rsidRDefault="00DB1D87" w:rsidP="00DB1D87">
            <w:pPr>
              <w:jc w:val="both"/>
              <w:rPr>
                <w:rFonts w:eastAsia="Times New Roman"/>
                <w:sz w:val="22"/>
                <w:szCs w:val="22"/>
              </w:rPr>
            </w:pPr>
            <w:r w:rsidRPr="00A464CF">
              <w:rPr>
                <w:rFonts w:eastAsia="Times New Roman"/>
                <w:sz w:val="22"/>
                <w:szCs w:val="22"/>
              </w:rPr>
              <w:t>Sắp xếp, tổ chức lại các đơn vị sự nghiệp công lập, cổ phần hóa các đơn vị sự nghiệp công lập có đủ điều kiện, trừ các bệnh viện, trường học; giải thể các đơn vị sự nghiệp công lập hoạt động kém hiệu quả; không để cổ phần hóa thành tư nhân hóa và xã hội hóa thành thương mại hóa dịch vụ công thiết yếu</w:t>
            </w:r>
          </w:p>
        </w:tc>
        <w:tc>
          <w:tcPr>
            <w:tcW w:w="7771" w:type="dxa"/>
            <w:shd w:val="clear" w:color="auto" w:fill="auto"/>
            <w:vAlign w:val="center"/>
            <w:hideMark/>
          </w:tcPr>
          <w:p w14:paraId="1154011C" w14:textId="328EF514" w:rsidR="00DB1D87" w:rsidRPr="00A464CF" w:rsidRDefault="00DB1D87" w:rsidP="00DB1D87">
            <w:pPr>
              <w:jc w:val="both"/>
              <w:rPr>
                <w:rFonts w:eastAsia="Times New Roman"/>
                <w:sz w:val="22"/>
                <w:szCs w:val="22"/>
              </w:rPr>
            </w:pPr>
            <w:r w:rsidRPr="00A464CF">
              <w:rPr>
                <w:rFonts w:eastAsia="Times New Roman"/>
                <w:sz w:val="22"/>
                <w:szCs w:val="22"/>
              </w:rPr>
              <w:t>Các Bộ đang thực hiện rà soát, sắp xếp các đơn vị sự nghiệp công lập thuộc phạm vi quản lý. Số lượng người làm việc trong các đơn vị SNCL (khối Chính phủ quản lý): Năm 2019, tổng số lượng người làm việc trong các đơn vị SNCL hưởng lương từ ngân sách của các Bộ, ngành đã giảm 11,85% và địa phương đã giảm 4,26% so với năm 2015, tương đương còn khoảng 193.00 người (ở trung ương) và 1.890.000 người (ở địa phương)</w:t>
            </w:r>
          </w:p>
        </w:tc>
        <w:tc>
          <w:tcPr>
            <w:tcW w:w="1306" w:type="dxa"/>
            <w:shd w:val="clear" w:color="auto" w:fill="auto"/>
            <w:vAlign w:val="center"/>
            <w:hideMark/>
          </w:tcPr>
          <w:p w14:paraId="5EBB3E00"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2B7AE0E2" w14:textId="77777777" w:rsidTr="00AA2D1A">
        <w:trPr>
          <w:trHeight w:val="598"/>
        </w:trPr>
        <w:tc>
          <w:tcPr>
            <w:tcW w:w="708" w:type="dxa"/>
            <w:shd w:val="clear" w:color="auto" w:fill="auto"/>
            <w:noWrap/>
            <w:vAlign w:val="center"/>
            <w:hideMark/>
          </w:tcPr>
          <w:p w14:paraId="39DCC9FD" w14:textId="77777777" w:rsidR="00DB1D87" w:rsidRPr="00A464CF" w:rsidRDefault="00DB1D87" w:rsidP="00DB1D87">
            <w:pPr>
              <w:jc w:val="center"/>
              <w:rPr>
                <w:rFonts w:eastAsia="Times New Roman"/>
                <w:sz w:val="22"/>
                <w:szCs w:val="22"/>
              </w:rPr>
            </w:pPr>
            <w:r w:rsidRPr="00A464CF">
              <w:rPr>
                <w:rFonts w:eastAsia="Times New Roman"/>
                <w:sz w:val="22"/>
                <w:szCs w:val="22"/>
              </w:rPr>
              <w:t>5</w:t>
            </w:r>
          </w:p>
        </w:tc>
        <w:tc>
          <w:tcPr>
            <w:tcW w:w="5378" w:type="dxa"/>
            <w:shd w:val="clear" w:color="auto" w:fill="auto"/>
            <w:vAlign w:val="center"/>
            <w:hideMark/>
          </w:tcPr>
          <w:p w14:paraId="663DCC45" w14:textId="77777777" w:rsidR="00DB1D87" w:rsidRPr="00A464CF" w:rsidRDefault="00DB1D87" w:rsidP="00DB1D87">
            <w:pPr>
              <w:jc w:val="both"/>
              <w:rPr>
                <w:rFonts w:eastAsia="Times New Roman"/>
                <w:sz w:val="22"/>
                <w:szCs w:val="22"/>
              </w:rPr>
            </w:pPr>
            <w:r w:rsidRPr="00A464CF">
              <w:rPr>
                <w:rFonts w:eastAsia="Times New Roman"/>
                <w:sz w:val="22"/>
                <w:szCs w:val="22"/>
              </w:rPr>
              <w:t>Xây dựng Đề án đổi mới cơ chế quản lý, cơ chế tài chính, tổ chức lại hệ thống đơn vị sự nghiệp công lập trong năm 2017</w:t>
            </w:r>
          </w:p>
        </w:tc>
        <w:tc>
          <w:tcPr>
            <w:tcW w:w="7771" w:type="dxa"/>
            <w:shd w:val="clear" w:color="auto" w:fill="auto"/>
            <w:vAlign w:val="center"/>
            <w:hideMark/>
          </w:tcPr>
          <w:p w14:paraId="703E51C0" w14:textId="77777777" w:rsidR="00DB1D87" w:rsidRPr="00A464CF" w:rsidRDefault="00DB1D87" w:rsidP="00DB1D87">
            <w:pPr>
              <w:jc w:val="both"/>
              <w:rPr>
                <w:rFonts w:eastAsia="Times New Roman"/>
                <w:sz w:val="22"/>
                <w:szCs w:val="22"/>
              </w:rPr>
            </w:pPr>
            <w:r w:rsidRPr="00A464CF">
              <w:rPr>
                <w:rFonts w:eastAsia="Times New Roman"/>
                <w:sz w:val="22"/>
                <w:szCs w:val="22"/>
              </w:rPr>
              <w:t>Đề án đã được thông qua, Ban Chấp hành Trung ương Đảng khóa XII đã ban hành Nghị quyết số 19-NQ/TW ngày 25/10/2017.</w:t>
            </w:r>
          </w:p>
          <w:p w14:paraId="6BD25957" w14:textId="4F4D0372" w:rsidR="00DB1D87" w:rsidRPr="00A464CF" w:rsidRDefault="00DB1D87" w:rsidP="00DB1D87">
            <w:pPr>
              <w:jc w:val="both"/>
              <w:rPr>
                <w:rFonts w:eastAsia="Times New Roman"/>
                <w:sz w:val="22"/>
                <w:szCs w:val="22"/>
              </w:rPr>
            </w:pPr>
            <w:r w:rsidRPr="00A464CF">
              <w:rPr>
                <w:rFonts w:eastAsia="Times New Roman"/>
                <w:sz w:val="22"/>
                <w:szCs w:val="22"/>
              </w:rPr>
              <w:t>Tính đến hết 31/07/2019, số đơn vị được giao tự chủ về tài chính theo Nghị định số 54/2016/NĐ-CP là 200 đơn vị và theo Nghị định 141/2016/NĐ-CP là 168 đơn vị.</w:t>
            </w:r>
          </w:p>
        </w:tc>
        <w:tc>
          <w:tcPr>
            <w:tcW w:w="1306" w:type="dxa"/>
            <w:shd w:val="clear" w:color="auto" w:fill="auto"/>
            <w:vAlign w:val="center"/>
            <w:hideMark/>
          </w:tcPr>
          <w:p w14:paraId="7FBA5C7B"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rõ ràng</w:t>
            </w:r>
          </w:p>
        </w:tc>
      </w:tr>
      <w:tr w:rsidR="00A464CF" w:rsidRPr="00A464CF" w14:paraId="66B70D0A" w14:textId="77777777" w:rsidTr="00AA2D1A">
        <w:trPr>
          <w:trHeight w:val="700"/>
        </w:trPr>
        <w:tc>
          <w:tcPr>
            <w:tcW w:w="708" w:type="dxa"/>
            <w:shd w:val="clear" w:color="auto" w:fill="auto"/>
            <w:noWrap/>
            <w:vAlign w:val="center"/>
            <w:hideMark/>
          </w:tcPr>
          <w:p w14:paraId="2411FDDE" w14:textId="21D332A8" w:rsidR="00DB1D87" w:rsidRPr="00A464CF" w:rsidRDefault="00DB1D87" w:rsidP="00DB1D87">
            <w:pPr>
              <w:jc w:val="right"/>
              <w:rPr>
                <w:rFonts w:eastAsia="Times New Roman"/>
                <w:sz w:val="22"/>
                <w:szCs w:val="22"/>
              </w:rPr>
            </w:pPr>
            <w:r w:rsidRPr="00A464CF">
              <w:rPr>
                <w:rFonts w:eastAsia="Times New Roman"/>
                <w:sz w:val="22"/>
                <w:szCs w:val="22"/>
              </w:rPr>
              <w:lastRenderedPageBreak/>
              <w:t>6</w:t>
            </w:r>
          </w:p>
        </w:tc>
        <w:tc>
          <w:tcPr>
            <w:tcW w:w="5378" w:type="dxa"/>
            <w:shd w:val="clear" w:color="auto" w:fill="auto"/>
            <w:vAlign w:val="center"/>
            <w:hideMark/>
          </w:tcPr>
          <w:p w14:paraId="6144F73A" w14:textId="2C43461D" w:rsidR="00DB1D87" w:rsidRPr="00A464CF" w:rsidRDefault="00DB1D87" w:rsidP="00DB1D87">
            <w:pPr>
              <w:jc w:val="both"/>
              <w:rPr>
                <w:rFonts w:eastAsia="Times New Roman"/>
                <w:sz w:val="22"/>
                <w:szCs w:val="22"/>
              </w:rPr>
            </w:pPr>
            <w:r w:rsidRPr="00A464CF">
              <w:rPr>
                <w:rFonts w:eastAsia="Times New Roman"/>
                <w:sz w:val="22"/>
                <w:szCs w:val="22"/>
              </w:rPr>
              <w:t>Nâng cao chất lượng các dịch vụ công trong lĩnh vực bổ trợ tư pháp như công chứng, bán đấu giá tài sản, giám định tư pháp, trợ giúp pháp lý, thừa phát lại, quản lý, thanh lý tài sản, đồng thời triển khai thực hiện tốt các chiến lược, quy hoạch, đề án trong các lĩnh vực này, bảo đảm sự phát triển bền vững, đáp ứng ngày càng tốt hơn yêu cầu cải cách tư pháp, hội nhập quốc tế, góp phần bảo đảm vận hành thông suốt của cơ chế thị trường có quản lý của Nhà nước</w:t>
            </w:r>
          </w:p>
        </w:tc>
        <w:tc>
          <w:tcPr>
            <w:tcW w:w="7771" w:type="dxa"/>
            <w:shd w:val="clear" w:color="auto" w:fill="auto"/>
            <w:vAlign w:val="center"/>
            <w:hideMark/>
          </w:tcPr>
          <w:p w14:paraId="257FF6A4" w14:textId="77777777" w:rsidR="00DB1D87" w:rsidRPr="00A464CF" w:rsidRDefault="00DB1D87" w:rsidP="00DB1D87">
            <w:pPr>
              <w:jc w:val="both"/>
              <w:rPr>
                <w:rFonts w:eastAsia="Times New Roman"/>
                <w:sz w:val="22"/>
                <w:szCs w:val="22"/>
              </w:rPr>
            </w:pPr>
            <w:r w:rsidRPr="00A464CF">
              <w:rPr>
                <w:rFonts w:eastAsia="Times New Roman"/>
                <w:sz w:val="22"/>
                <w:szCs w:val="22"/>
              </w:rPr>
              <w:t>Bộ Tư pháp tiếp tục hoàn thiện Quy hoạch mạng lưới các đơn vị sự nghiệp công lập thuộc thẩm quyền quản lý của Bộ Tư pháp và Danh mục dịch vụ sự nghiệp công lập thuộc thẩm quyền quản lý của Bộ Tư pháp. Trong lĩnh vực bổ trợ tư pháp, Bộ tiếp tục rà soát, xây dựng phương án đơn giản hóa thủ tục hành chính trong lĩnh vực này (đã tham mưu cho Chính phủ ban hành Nghị định số 58/2017/NĐ-CP ngày 04/7/2017, xây dựng và đưa vào phần mềm cung ứng dịch vụ công cấp độ 3 trong lĩnh vực cấp Chứng chỉ hành nghề quản tài viên, cấp Giấy phép thành lập Trung tâm trọng tài. Bộ đang phối hợp với các Bộ, ngành liên quan hoàn thiện thể chế để nâng cao chất lượng dịch vụ công thuộc một số lĩnh vực như thừa phát lại, quản lý, thanh lý tài sản (trình Chính phủ dự thảo Nghị định về thừa phát lại, phối hợp với Bộ Kế hoạch và Đầu tư xây dựng Nghị định sửa đổi Nghị định 22/2015/NĐ-CP quy định chi tiết thi hành một số điều của Luật Phá sản về quản tài viên và hành nghề quản lý, thanh lý tài sản. Đối với lĩnh vực trợ giúp pháp lý, đã tham mưu cho Chính phủ trình Quốc hội ban hành Luật Trợ giúp pháp lý.</w:t>
            </w:r>
          </w:p>
          <w:p w14:paraId="2DCD5426" w14:textId="48D492A4" w:rsidR="00DB1D87" w:rsidRPr="00A464CF" w:rsidRDefault="00DB1D87" w:rsidP="00DB1D87">
            <w:pPr>
              <w:jc w:val="both"/>
              <w:rPr>
                <w:rFonts w:eastAsia="Times New Roman"/>
                <w:sz w:val="22"/>
                <w:szCs w:val="22"/>
              </w:rPr>
            </w:pPr>
          </w:p>
        </w:tc>
        <w:tc>
          <w:tcPr>
            <w:tcW w:w="1306" w:type="dxa"/>
            <w:shd w:val="clear" w:color="auto" w:fill="auto"/>
            <w:vAlign w:val="center"/>
            <w:hideMark/>
          </w:tcPr>
          <w:p w14:paraId="3921F4BF"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6D0071EF" w14:textId="77777777" w:rsidTr="00AA2D1A">
        <w:trPr>
          <w:trHeight w:val="321"/>
        </w:trPr>
        <w:tc>
          <w:tcPr>
            <w:tcW w:w="708" w:type="dxa"/>
            <w:shd w:val="clear" w:color="auto" w:fill="auto"/>
            <w:noWrap/>
            <w:vAlign w:val="center"/>
            <w:hideMark/>
          </w:tcPr>
          <w:p w14:paraId="177C27AE" w14:textId="77777777" w:rsidR="00DB1D87" w:rsidRPr="00A464CF" w:rsidRDefault="00DB1D87" w:rsidP="00DB1D87">
            <w:pPr>
              <w:jc w:val="center"/>
              <w:rPr>
                <w:rFonts w:eastAsia="Times New Roman"/>
                <w:b/>
                <w:bCs/>
                <w:sz w:val="22"/>
                <w:szCs w:val="22"/>
              </w:rPr>
            </w:pPr>
            <w:r w:rsidRPr="00A464CF">
              <w:rPr>
                <w:rFonts w:eastAsia="Times New Roman"/>
                <w:b/>
                <w:bCs/>
                <w:sz w:val="22"/>
                <w:szCs w:val="22"/>
              </w:rPr>
              <w:t>X</w:t>
            </w:r>
          </w:p>
        </w:tc>
        <w:tc>
          <w:tcPr>
            <w:tcW w:w="14455" w:type="dxa"/>
            <w:gridSpan w:val="3"/>
            <w:shd w:val="clear" w:color="auto" w:fill="auto"/>
            <w:vAlign w:val="center"/>
            <w:hideMark/>
          </w:tcPr>
          <w:p w14:paraId="110AF908" w14:textId="77777777" w:rsidR="00DB1D87" w:rsidRPr="00A464CF" w:rsidRDefault="00DB1D87" w:rsidP="00DB1D87">
            <w:pPr>
              <w:rPr>
                <w:rFonts w:eastAsia="Times New Roman"/>
                <w:b/>
                <w:bCs/>
                <w:sz w:val="22"/>
                <w:szCs w:val="22"/>
              </w:rPr>
            </w:pPr>
            <w:r w:rsidRPr="00A464CF">
              <w:rPr>
                <w:rFonts w:eastAsia="Times New Roman"/>
                <w:b/>
                <w:bCs/>
                <w:sz w:val="22"/>
                <w:szCs w:val="22"/>
              </w:rPr>
              <w:t>Đẩy mạnh cơ cấu lại nông nghiệp gắn với xây dựng nông thôn mới</w:t>
            </w:r>
          </w:p>
        </w:tc>
      </w:tr>
      <w:tr w:rsidR="00A464CF" w:rsidRPr="00A464CF" w14:paraId="2BF74184" w14:textId="77777777" w:rsidTr="00AA2D1A">
        <w:trPr>
          <w:trHeight w:val="2421"/>
        </w:trPr>
        <w:tc>
          <w:tcPr>
            <w:tcW w:w="708" w:type="dxa"/>
            <w:shd w:val="clear" w:color="auto" w:fill="auto"/>
            <w:noWrap/>
            <w:vAlign w:val="center"/>
            <w:hideMark/>
          </w:tcPr>
          <w:p w14:paraId="451FC959" w14:textId="77777777" w:rsidR="00DB1D87" w:rsidRPr="00A464CF" w:rsidRDefault="00DB1D87" w:rsidP="00DB1D87">
            <w:pPr>
              <w:jc w:val="center"/>
              <w:rPr>
                <w:rFonts w:eastAsia="Times New Roman"/>
                <w:sz w:val="22"/>
                <w:szCs w:val="22"/>
              </w:rPr>
            </w:pPr>
            <w:r w:rsidRPr="00A464CF">
              <w:rPr>
                <w:rFonts w:eastAsia="Times New Roman"/>
                <w:sz w:val="22"/>
                <w:szCs w:val="22"/>
              </w:rPr>
              <w:t>1</w:t>
            </w:r>
          </w:p>
        </w:tc>
        <w:tc>
          <w:tcPr>
            <w:tcW w:w="5378" w:type="dxa"/>
            <w:shd w:val="clear" w:color="auto" w:fill="auto"/>
            <w:vAlign w:val="center"/>
            <w:hideMark/>
          </w:tcPr>
          <w:p w14:paraId="6F7C27FB" w14:textId="77777777" w:rsidR="00DB1D87" w:rsidRPr="00A464CF" w:rsidRDefault="00DB1D87" w:rsidP="00DB1D87">
            <w:pPr>
              <w:jc w:val="both"/>
              <w:rPr>
                <w:rFonts w:eastAsia="Times New Roman"/>
                <w:sz w:val="22"/>
                <w:szCs w:val="22"/>
              </w:rPr>
            </w:pPr>
            <w:r w:rsidRPr="00A464CF">
              <w:rPr>
                <w:rFonts w:eastAsia="Times New Roman"/>
                <w:sz w:val="22"/>
                <w:szCs w:val="22"/>
              </w:rPr>
              <w:t>Nghiên cứu điều chỉnh Đề án cơ cấu lại ngành nông nghiệp theo hướng gắn với xây dựng nông thôn mới có hiệu quả, thúc đẩy chuyển giao, ứng dụng khoa học - công nghệ và các quy trình sản xuất tiên tiến vào sản xuất, hướng tới nền nông nghiệp sạch, công nghệ cao, thân thiện với môi trường; chuyển mạnh từ sản xuất lấy số lượng làm mục tiêu sang sản xuất nâng cao chất lượng, hiệu quả, có giá trị gia tăng cao, phù hợp với điều kiện biến đổi khí hậu, nước biển dâng để lựa chọn phát triển các sản phẩm phát huy lợi thế so sánh của từng địa phương, từng vùng và cả nước.</w:t>
            </w:r>
          </w:p>
        </w:tc>
        <w:tc>
          <w:tcPr>
            <w:tcW w:w="7771" w:type="dxa"/>
            <w:shd w:val="clear" w:color="auto" w:fill="auto"/>
            <w:vAlign w:val="center"/>
            <w:hideMark/>
          </w:tcPr>
          <w:p w14:paraId="0916C16C" w14:textId="77777777" w:rsidR="00DB1D87" w:rsidRPr="00A464CF" w:rsidRDefault="00DB1D87" w:rsidP="00DB1D87">
            <w:pPr>
              <w:jc w:val="both"/>
              <w:rPr>
                <w:rFonts w:eastAsia="Times New Roman"/>
                <w:sz w:val="22"/>
                <w:szCs w:val="22"/>
              </w:rPr>
            </w:pPr>
            <w:r w:rsidRPr="00A464CF">
              <w:rPr>
                <w:rFonts w:eastAsia="Times New Roman"/>
                <w:sz w:val="22"/>
                <w:szCs w:val="22"/>
              </w:rPr>
              <w:t>Thủ tướng Chính phủ đã ban hành Quyết định số 1819/QĐ-TTg ngày 16/11/2017 Phê duyệt Kế hoạch cơ cấu lại ngành nông nghiệp giai đoạn 2017-2020. Trên cơ sở lợi thế và nhu cầu thị trường, Đề án đã xác định 3 nhóm sản phẩm đến năm 2020 để tập trung phát triển, bao gồm nhóm chủ lực quốc gia, nhóm chủ lực cấp tỉnh, các địa phương, sản phẩm đặc sản địa phương. Đồng thời, Đề án xác định các nhóm giải pháp theo hướng tập trung vào phát triển các nhóm sản phẩm, thúc đẩy chuyển giao, ứng dụng khoa học - công nghệ và các quy trình sản xuất tiên tiến vào sản xuất, hướng tới nền nông nghiệp sạch, công nghệ cao, thân thiện với môi trường; chuyển mạnh từ sản xuất lấy số lượng làm mục tiêu sang sản xuất nâng cao chất lượng, hiệu quả, có giá trị gia tăng cao, phù hợp với điều kiện biến đổi khí hậu, nước biển dâng. Trên cơ sở Quyết định 1819/QĐ-TTg, các địa phương đã triển khai xây dựng kế hoạch cơ cấu lại ngành nông nghiệp của địa phương</w:t>
            </w:r>
          </w:p>
        </w:tc>
        <w:tc>
          <w:tcPr>
            <w:tcW w:w="1306" w:type="dxa"/>
            <w:shd w:val="clear" w:color="auto" w:fill="auto"/>
            <w:vAlign w:val="center"/>
            <w:hideMark/>
          </w:tcPr>
          <w:p w14:paraId="4906FBD0"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rõ ràng</w:t>
            </w:r>
          </w:p>
        </w:tc>
      </w:tr>
      <w:tr w:rsidR="00A464CF" w:rsidRPr="00A464CF" w14:paraId="5E9CD8FC" w14:textId="77777777" w:rsidTr="00AA2D1A">
        <w:trPr>
          <w:trHeight w:val="551"/>
        </w:trPr>
        <w:tc>
          <w:tcPr>
            <w:tcW w:w="708" w:type="dxa"/>
            <w:shd w:val="clear" w:color="auto" w:fill="auto"/>
            <w:noWrap/>
            <w:vAlign w:val="center"/>
            <w:hideMark/>
          </w:tcPr>
          <w:p w14:paraId="47992E75" w14:textId="77777777" w:rsidR="00DB1D87" w:rsidRPr="00A464CF" w:rsidRDefault="00DB1D87" w:rsidP="00DB1D87">
            <w:pPr>
              <w:jc w:val="center"/>
              <w:rPr>
                <w:rFonts w:eastAsia="Times New Roman"/>
                <w:sz w:val="22"/>
                <w:szCs w:val="22"/>
              </w:rPr>
            </w:pPr>
            <w:r w:rsidRPr="00A464CF">
              <w:rPr>
                <w:rFonts w:eastAsia="Times New Roman"/>
                <w:sz w:val="22"/>
                <w:szCs w:val="22"/>
              </w:rPr>
              <w:t>2</w:t>
            </w:r>
          </w:p>
        </w:tc>
        <w:tc>
          <w:tcPr>
            <w:tcW w:w="5378" w:type="dxa"/>
            <w:shd w:val="clear" w:color="auto" w:fill="auto"/>
            <w:vAlign w:val="center"/>
            <w:hideMark/>
          </w:tcPr>
          <w:p w14:paraId="5A981F9C" w14:textId="77777777" w:rsidR="00DB1D87" w:rsidRPr="00A464CF" w:rsidRDefault="00DB1D87" w:rsidP="00DB1D87">
            <w:pPr>
              <w:jc w:val="both"/>
              <w:rPr>
                <w:rFonts w:eastAsia="Times New Roman"/>
                <w:sz w:val="22"/>
                <w:szCs w:val="22"/>
              </w:rPr>
            </w:pPr>
            <w:r w:rsidRPr="00A464CF">
              <w:rPr>
                <w:rFonts w:eastAsia="Times New Roman"/>
                <w:sz w:val="22"/>
                <w:szCs w:val="22"/>
              </w:rPr>
              <w:t>Rà soát, điều chỉnh quy hoạch sản xuất nông nghiệp, đảm bảo phát huy lợi thế của từng vùng, địa phương và tạo vùng nguyên liệu bền vững cho công nghiệp chế biến nông sản đáp ứng nhu cầu thị trường. Rà soát, điều chỉnh diện tích đất trồng lúa ở mức hợp lý, chuyển sang các loại cây trồng, vật nuôi có giá trị cao.</w:t>
            </w:r>
          </w:p>
        </w:tc>
        <w:tc>
          <w:tcPr>
            <w:tcW w:w="7771" w:type="dxa"/>
            <w:shd w:val="clear" w:color="auto" w:fill="auto"/>
            <w:vAlign w:val="center"/>
            <w:hideMark/>
          </w:tcPr>
          <w:p w14:paraId="19018D19" w14:textId="77777777" w:rsidR="00DB1D87" w:rsidRPr="00A464CF" w:rsidRDefault="00DB1D87" w:rsidP="00DB1D87">
            <w:pPr>
              <w:jc w:val="both"/>
              <w:rPr>
                <w:rFonts w:eastAsia="Times New Roman"/>
                <w:sz w:val="22"/>
                <w:szCs w:val="22"/>
              </w:rPr>
            </w:pPr>
            <w:r w:rsidRPr="00A464CF">
              <w:rPr>
                <w:rFonts w:eastAsia="Times New Roman"/>
                <w:sz w:val="22"/>
                <w:szCs w:val="22"/>
              </w:rPr>
              <w:t>Các quy hoạch nông nghiệp từng bước được điều chỉnh lại trên cơ sở phát huy lợi thế của địa phương, nhu cầu thị trường và ứng phó với biến đổi khí hậu, quy mô mang tính toàn quốc và liên vùng. Thông tư liên tịch quy định cụ thể việc chuyển đổi cơ cấu cây trồng trên đất trồng lúa (hướng dẫn Nghị định 01/2017/NĐ-CP) nhằm thúc đẩy việc chuyển đổi cơ cấu cây trồng đang được xây dựng. Tuy nhiên, vấn đề quản lý thực hiện quy hoạch còn hạn chế, tình trạng trồng tự phát, vượt quy hoạch diễn ra phổ biến ở nhiều địa phương mà chưa có biên pháp quản lý hiệu quả.</w:t>
            </w:r>
          </w:p>
        </w:tc>
        <w:tc>
          <w:tcPr>
            <w:tcW w:w="1306" w:type="dxa"/>
            <w:shd w:val="clear" w:color="auto" w:fill="auto"/>
            <w:vAlign w:val="center"/>
            <w:hideMark/>
          </w:tcPr>
          <w:p w14:paraId="6B8EC15C"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1CA83DAE" w14:textId="77777777" w:rsidTr="00AA2D1A">
        <w:trPr>
          <w:trHeight w:val="60"/>
        </w:trPr>
        <w:tc>
          <w:tcPr>
            <w:tcW w:w="708" w:type="dxa"/>
            <w:shd w:val="clear" w:color="auto" w:fill="auto"/>
            <w:noWrap/>
            <w:vAlign w:val="center"/>
            <w:hideMark/>
          </w:tcPr>
          <w:p w14:paraId="423D3169" w14:textId="77777777" w:rsidR="00DB1D87" w:rsidRPr="00A464CF" w:rsidRDefault="00DB1D87" w:rsidP="00DB1D87">
            <w:pPr>
              <w:jc w:val="center"/>
              <w:rPr>
                <w:rFonts w:eastAsia="Times New Roman"/>
                <w:sz w:val="22"/>
                <w:szCs w:val="22"/>
              </w:rPr>
            </w:pPr>
            <w:r w:rsidRPr="00A464CF">
              <w:rPr>
                <w:rFonts w:eastAsia="Times New Roman"/>
                <w:sz w:val="22"/>
                <w:szCs w:val="22"/>
              </w:rPr>
              <w:lastRenderedPageBreak/>
              <w:t>3</w:t>
            </w:r>
          </w:p>
        </w:tc>
        <w:tc>
          <w:tcPr>
            <w:tcW w:w="5378" w:type="dxa"/>
            <w:shd w:val="clear" w:color="auto" w:fill="auto"/>
            <w:vAlign w:val="center"/>
            <w:hideMark/>
          </w:tcPr>
          <w:p w14:paraId="409D5845" w14:textId="77777777" w:rsidR="00DB1D87" w:rsidRPr="00A464CF" w:rsidRDefault="00DB1D87" w:rsidP="00DB1D87">
            <w:pPr>
              <w:jc w:val="both"/>
              <w:rPr>
                <w:rFonts w:eastAsia="Times New Roman"/>
                <w:sz w:val="22"/>
                <w:szCs w:val="22"/>
              </w:rPr>
            </w:pPr>
            <w:r w:rsidRPr="00A464CF">
              <w:rPr>
                <w:rFonts w:eastAsia="Times New Roman"/>
                <w:sz w:val="22"/>
                <w:szCs w:val="22"/>
              </w:rPr>
              <w:t>Nghiên cứu, rà soát và tiếp tục đổi mới và phát triển các hình thức tổ chức sản xuất phù hợp; nhân rộng các mô hình tổ chức sản xuất mới, hiệu quả đã được kiểm chứng; phát triển các hình thức hợp tác, liên kết sản xuất, chế biến, tiêu thụ nông sản theo chuỗi giá trị, kết nối với hệ thống tiêu thụ ở cả trong nước và ngoài nước; chuyển mạnh từ sản xuất theo hộ gia đình riêng lẻ sang mô hình sản xuất hợp tác, liên kết, tập trung, quy mô lớn; xây dựng chương trình phát triển hợp tác xã và liên hiệp hợp tác xã nông nghiệp.</w:t>
            </w:r>
          </w:p>
        </w:tc>
        <w:tc>
          <w:tcPr>
            <w:tcW w:w="7771" w:type="dxa"/>
            <w:shd w:val="clear" w:color="auto" w:fill="auto"/>
            <w:vAlign w:val="center"/>
            <w:hideMark/>
          </w:tcPr>
          <w:p w14:paraId="6F5021B6" w14:textId="7D6B6056" w:rsidR="00DB1D87" w:rsidRPr="00A464CF" w:rsidRDefault="00DB1D87" w:rsidP="0068087D">
            <w:pPr>
              <w:jc w:val="both"/>
              <w:rPr>
                <w:rFonts w:eastAsia="Times New Roman"/>
                <w:sz w:val="22"/>
                <w:szCs w:val="22"/>
              </w:rPr>
            </w:pPr>
            <w:r w:rsidRPr="00A464CF">
              <w:rPr>
                <w:rFonts w:eastAsia="Times New Roman"/>
                <w:sz w:val="22"/>
                <w:szCs w:val="22"/>
              </w:rPr>
              <w:t>Thủ tướng Chính phủ đã ban hành Quyết định 461/QĐ-TTg ngày 27/4/2018 Phê duyệt Đề án phát triển 15.000 hợp tác xã, liên hiệp hợp tác xã nông nghiệp hoạt động có hiệu quả đến năm 2020. Bộ Nông nghiệp và Phát triển Nông thôn đang xây dựng Nghị định về liên kết sản xuất – tiêu thụ nông sản. Nhiều mô hình cánh đồng lớn sản xuất lúa gạo, gắn sản xuất với tiêu thụ sản phẩm theo chuỗi giá trị đã được phát triển</w:t>
            </w:r>
            <w:r w:rsidR="0068087D" w:rsidRPr="00A464CF">
              <w:rPr>
                <w:rFonts w:eastAsia="Times New Roman"/>
                <w:sz w:val="22"/>
                <w:szCs w:val="22"/>
              </w:rPr>
              <w:t>.</w:t>
            </w:r>
            <w:r w:rsidRPr="00A464CF">
              <w:rPr>
                <w:rFonts w:eastAsia="Times New Roman"/>
                <w:sz w:val="22"/>
                <w:szCs w:val="22"/>
              </w:rPr>
              <w:t xml:space="preserve"> Tuy nhiên, việc thu hút doanh nghiệp đầu tư nông nghiệp công nghệ cao còn hạn chế; các mô hình hợp tác xã đạt hiệu quả chưa cao. Các mô hình tổ chức sản xuất mới còn phân tán, chưa trở thành xu hướng chính trong phát triển nông nghiệp của các địa phương.</w:t>
            </w:r>
          </w:p>
        </w:tc>
        <w:tc>
          <w:tcPr>
            <w:tcW w:w="1306" w:type="dxa"/>
            <w:shd w:val="clear" w:color="auto" w:fill="auto"/>
            <w:vAlign w:val="center"/>
            <w:hideMark/>
          </w:tcPr>
          <w:p w14:paraId="702A2A5E"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223F58A8" w14:textId="77777777" w:rsidTr="00AA2D1A">
        <w:trPr>
          <w:trHeight w:val="167"/>
        </w:trPr>
        <w:tc>
          <w:tcPr>
            <w:tcW w:w="708" w:type="dxa"/>
            <w:shd w:val="clear" w:color="auto" w:fill="auto"/>
            <w:noWrap/>
            <w:vAlign w:val="center"/>
            <w:hideMark/>
          </w:tcPr>
          <w:p w14:paraId="7D52F47B" w14:textId="77777777" w:rsidR="00DB1D87" w:rsidRPr="00A464CF" w:rsidRDefault="00DB1D87" w:rsidP="00DB1D87">
            <w:pPr>
              <w:jc w:val="center"/>
              <w:rPr>
                <w:rFonts w:eastAsia="Times New Roman"/>
                <w:sz w:val="22"/>
                <w:szCs w:val="22"/>
              </w:rPr>
            </w:pPr>
            <w:r w:rsidRPr="00A464CF">
              <w:rPr>
                <w:rFonts w:eastAsia="Times New Roman"/>
                <w:sz w:val="22"/>
                <w:szCs w:val="22"/>
              </w:rPr>
              <w:t>4</w:t>
            </w:r>
          </w:p>
        </w:tc>
        <w:tc>
          <w:tcPr>
            <w:tcW w:w="5378" w:type="dxa"/>
            <w:shd w:val="clear" w:color="auto" w:fill="auto"/>
            <w:vAlign w:val="center"/>
            <w:hideMark/>
          </w:tcPr>
          <w:p w14:paraId="7279FC54" w14:textId="77777777" w:rsidR="00DB1D87" w:rsidRPr="00A464CF" w:rsidRDefault="00DB1D87" w:rsidP="00DB1D87">
            <w:pPr>
              <w:jc w:val="both"/>
              <w:rPr>
                <w:rFonts w:eastAsia="Times New Roman"/>
                <w:sz w:val="22"/>
                <w:szCs w:val="22"/>
              </w:rPr>
            </w:pPr>
            <w:r w:rsidRPr="00A464CF">
              <w:rPr>
                <w:rFonts w:eastAsia="Times New Roman"/>
                <w:sz w:val="22"/>
                <w:szCs w:val="22"/>
              </w:rPr>
              <w:t>Tăng cường các biện pháp thực hiện Chương trình mục tiêu quốc gia xây dựng nông thôn mới giai đoạn 2016 - 2020. Tập trung phát triển theo hướng sản xuất hàng hóa, bền vững, nâng cao hiệu quả sản xuất, tăng thu nhập cho dân cư nông thôn. Phấn đấu đến năm 2020 khoảng 50% số xã đạt chuẩn nông thôn mới.</w:t>
            </w:r>
          </w:p>
        </w:tc>
        <w:tc>
          <w:tcPr>
            <w:tcW w:w="7771" w:type="dxa"/>
            <w:shd w:val="clear" w:color="auto" w:fill="auto"/>
            <w:vAlign w:val="center"/>
            <w:hideMark/>
          </w:tcPr>
          <w:p w14:paraId="4CD22737" w14:textId="28F00EFA" w:rsidR="00DB1D87" w:rsidRPr="00A464CF" w:rsidRDefault="00DB1D87" w:rsidP="0068087D">
            <w:pPr>
              <w:jc w:val="both"/>
              <w:rPr>
                <w:rFonts w:eastAsia="Times New Roman"/>
                <w:sz w:val="22"/>
                <w:szCs w:val="22"/>
              </w:rPr>
            </w:pPr>
            <w:r w:rsidRPr="00A464CF">
              <w:rPr>
                <w:rFonts w:eastAsia="Times New Roman"/>
                <w:sz w:val="22"/>
                <w:szCs w:val="22"/>
              </w:rPr>
              <w:t>Chương trình mục tiêu quốc gia xây dựng nông thôn mới cơ bản được thực hiện tốt, hoàn thành mục tiêu đề ra</w:t>
            </w:r>
            <w:r w:rsidR="0068087D" w:rsidRPr="00A464CF">
              <w:rPr>
                <w:rFonts w:eastAsia="Times New Roman"/>
                <w:sz w:val="22"/>
                <w:szCs w:val="22"/>
              </w:rPr>
              <w:t xml:space="preserve">. </w:t>
            </w:r>
            <w:r w:rsidR="0068087D" w:rsidRPr="00A464CF">
              <w:rPr>
                <w:rFonts w:eastAsia="Times New Roman"/>
                <w:bCs/>
                <w:sz w:val="22"/>
                <w:szCs w:val="22"/>
                <w:lang w:val="en-GB"/>
              </w:rPr>
              <w:t>Đến hết tháng 6/2020, cả nước có 5.177 xã, chiếm 58,2% số xã được công nhận đạt chuẩn nông thôn mới (</w:t>
            </w:r>
            <w:r w:rsidR="0068087D" w:rsidRPr="00A464CF">
              <w:rPr>
                <w:rFonts w:eastAsia="Times New Roman"/>
                <w:bCs/>
                <w:sz w:val="22"/>
                <w:szCs w:val="22"/>
                <w:lang w:val="de-DE"/>
              </w:rPr>
              <w:t>09 tỉnh, thành phố</w:t>
            </w:r>
            <w:r w:rsidR="0068087D" w:rsidRPr="00A464CF">
              <w:rPr>
                <w:rFonts w:eastAsia="Times New Roman"/>
                <w:sz w:val="22"/>
                <w:szCs w:val="22"/>
                <w:lang w:val="de-DE"/>
              </w:rPr>
              <w:t xml:space="preserve"> có 100% số xã đã được công nhận đạt chuẩn nông thôn mới</w:t>
            </w:r>
            <w:r w:rsidR="0068087D" w:rsidRPr="00A464CF">
              <w:rPr>
                <w:rFonts w:eastAsia="Times New Roman"/>
                <w:sz w:val="22"/>
                <w:szCs w:val="22"/>
                <w:vertAlign w:val="superscript"/>
              </w:rPr>
              <w:footnoteReference w:id="20"/>
            </w:r>
            <w:r w:rsidR="0068087D" w:rsidRPr="00A464CF">
              <w:rPr>
                <w:rFonts w:eastAsia="Times New Roman"/>
                <w:bCs/>
                <w:sz w:val="22"/>
                <w:szCs w:val="22"/>
                <w:lang w:val="en-GB"/>
              </w:rPr>
              <w:t>)</w:t>
            </w:r>
          </w:p>
        </w:tc>
        <w:tc>
          <w:tcPr>
            <w:tcW w:w="1306" w:type="dxa"/>
            <w:shd w:val="clear" w:color="auto" w:fill="auto"/>
            <w:vAlign w:val="center"/>
            <w:hideMark/>
          </w:tcPr>
          <w:p w14:paraId="353736D5" w14:textId="77777777" w:rsidR="00DB1D87" w:rsidRPr="00A464CF" w:rsidRDefault="00DB1D87" w:rsidP="00DB1D87">
            <w:pPr>
              <w:rPr>
                <w:rFonts w:eastAsia="Times New Roman"/>
                <w:sz w:val="22"/>
                <w:szCs w:val="22"/>
              </w:rPr>
            </w:pPr>
            <w:r w:rsidRPr="00A464CF">
              <w:rPr>
                <w:rFonts w:eastAsia="Times New Roman"/>
                <w:sz w:val="22"/>
                <w:szCs w:val="22"/>
              </w:rPr>
              <w:t>Đã triển khai và đạt kết quả rõ ràng</w:t>
            </w:r>
          </w:p>
        </w:tc>
      </w:tr>
      <w:tr w:rsidR="00A464CF" w:rsidRPr="00A464CF" w14:paraId="66A5160A" w14:textId="77777777" w:rsidTr="00AA2D1A">
        <w:trPr>
          <w:trHeight w:val="903"/>
        </w:trPr>
        <w:tc>
          <w:tcPr>
            <w:tcW w:w="708" w:type="dxa"/>
            <w:shd w:val="clear" w:color="auto" w:fill="auto"/>
            <w:noWrap/>
            <w:vAlign w:val="center"/>
            <w:hideMark/>
          </w:tcPr>
          <w:p w14:paraId="7338DF3F" w14:textId="77777777" w:rsidR="00DB1D87" w:rsidRPr="00A464CF" w:rsidRDefault="00DB1D87" w:rsidP="00DB1D87">
            <w:pPr>
              <w:jc w:val="right"/>
              <w:rPr>
                <w:rFonts w:eastAsia="Times New Roman"/>
                <w:sz w:val="22"/>
                <w:szCs w:val="22"/>
              </w:rPr>
            </w:pPr>
            <w:r w:rsidRPr="00A464CF">
              <w:rPr>
                <w:rFonts w:eastAsia="Times New Roman"/>
                <w:sz w:val="22"/>
                <w:szCs w:val="22"/>
              </w:rPr>
              <w:t>5</w:t>
            </w:r>
          </w:p>
        </w:tc>
        <w:tc>
          <w:tcPr>
            <w:tcW w:w="5378" w:type="dxa"/>
            <w:shd w:val="clear" w:color="auto" w:fill="auto"/>
            <w:vAlign w:val="center"/>
            <w:hideMark/>
          </w:tcPr>
          <w:p w14:paraId="67D97942" w14:textId="77777777" w:rsidR="00DB1D87" w:rsidRPr="00A464CF" w:rsidRDefault="00DB1D87" w:rsidP="00DB1D87">
            <w:pPr>
              <w:jc w:val="both"/>
              <w:rPr>
                <w:rFonts w:eastAsia="Times New Roman"/>
                <w:sz w:val="22"/>
                <w:szCs w:val="22"/>
              </w:rPr>
            </w:pPr>
            <w:r w:rsidRPr="00A464CF">
              <w:rPr>
                <w:rFonts w:eastAsia="Times New Roman"/>
                <w:sz w:val="22"/>
                <w:szCs w:val="22"/>
              </w:rPr>
              <w:t>Ban hành các quy định, chính sách nhằm thu hút mạnh mẽ các doanh nghiệp đầu tư vào lĩnh vực nông nghiệp, nông thôn.</w:t>
            </w:r>
          </w:p>
        </w:tc>
        <w:tc>
          <w:tcPr>
            <w:tcW w:w="7771" w:type="dxa"/>
            <w:shd w:val="clear" w:color="auto" w:fill="auto"/>
            <w:vAlign w:val="center"/>
            <w:hideMark/>
          </w:tcPr>
          <w:p w14:paraId="67B31D0F" w14:textId="77777777" w:rsidR="00DB1D87" w:rsidRPr="00A464CF" w:rsidRDefault="00DB1D87" w:rsidP="00DB1D87">
            <w:pPr>
              <w:jc w:val="both"/>
              <w:rPr>
                <w:rFonts w:eastAsia="Times New Roman"/>
                <w:sz w:val="22"/>
                <w:szCs w:val="22"/>
              </w:rPr>
            </w:pPr>
            <w:r w:rsidRPr="00A464CF">
              <w:rPr>
                <w:rFonts w:eastAsia="Times New Roman"/>
                <w:sz w:val="22"/>
                <w:szCs w:val="22"/>
              </w:rPr>
              <w:t>Đã ban hành các chính sách:</w:t>
            </w:r>
          </w:p>
          <w:p w14:paraId="0D15A5F9" w14:textId="77777777" w:rsidR="00DB1D87" w:rsidRPr="00A464CF" w:rsidRDefault="00DB1D87" w:rsidP="00DB1D87">
            <w:pPr>
              <w:jc w:val="both"/>
              <w:rPr>
                <w:rFonts w:eastAsia="Times New Roman"/>
                <w:sz w:val="22"/>
                <w:szCs w:val="22"/>
              </w:rPr>
            </w:pPr>
            <w:r w:rsidRPr="00A464CF">
              <w:rPr>
                <w:rFonts w:eastAsia="Times New Roman"/>
                <w:sz w:val="22"/>
                <w:szCs w:val="22"/>
              </w:rPr>
              <w:t>- Luật hỗ trợ Doanh nghiệp nhỏ và vừa;</w:t>
            </w:r>
          </w:p>
          <w:p w14:paraId="024E0A6A" w14:textId="77777777" w:rsidR="00DB1D87" w:rsidRPr="00A464CF" w:rsidRDefault="00DB1D87" w:rsidP="00DB1D87">
            <w:pPr>
              <w:jc w:val="both"/>
              <w:rPr>
                <w:rFonts w:eastAsia="Times New Roman"/>
                <w:sz w:val="22"/>
                <w:szCs w:val="22"/>
              </w:rPr>
            </w:pPr>
            <w:r w:rsidRPr="00A464CF">
              <w:rPr>
                <w:rFonts w:eastAsia="Times New Roman"/>
                <w:sz w:val="22"/>
                <w:szCs w:val="22"/>
              </w:rPr>
              <w:t>- Nghị định 57/2018/NĐ-CP ngày 17/4/2018 về cơ chế, chính sách khuyến khích doanh nghiệp đầu tư vào nông nghiệp, nông thôn;</w:t>
            </w:r>
          </w:p>
          <w:p w14:paraId="016FCD73" w14:textId="77777777" w:rsidR="00DB1D87" w:rsidRPr="00A464CF" w:rsidRDefault="00DB1D87" w:rsidP="00DB1D87">
            <w:pPr>
              <w:jc w:val="both"/>
              <w:rPr>
                <w:rFonts w:eastAsia="Times New Roman"/>
                <w:sz w:val="22"/>
                <w:szCs w:val="22"/>
              </w:rPr>
            </w:pPr>
            <w:r w:rsidRPr="00A464CF">
              <w:rPr>
                <w:rFonts w:eastAsia="Times New Roman"/>
                <w:sz w:val="22"/>
                <w:szCs w:val="22"/>
              </w:rPr>
              <w:t>- Nghị định 58/2018/NĐ-CP ngày 17/4/2018 về bảo hiểm nông nghiệp;</w:t>
            </w:r>
          </w:p>
          <w:p w14:paraId="1D0DBF1B" w14:textId="1C7B4578" w:rsidR="00DB1D87" w:rsidRPr="00A464CF" w:rsidRDefault="00DB1D87" w:rsidP="0068087D">
            <w:pPr>
              <w:jc w:val="both"/>
              <w:rPr>
                <w:rFonts w:eastAsia="Times New Roman"/>
                <w:sz w:val="22"/>
                <w:szCs w:val="22"/>
              </w:rPr>
            </w:pPr>
            <w:r w:rsidRPr="00A464CF">
              <w:rPr>
                <w:rFonts w:eastAsia="Times New Roman"/>
                <w:sz w:val="22"/>
                <w:szCs w:val="22"/>
              </w:rPr>
              <w:t xml:space="preserve">- </w:t>
            </w:r>
            <w:r w:rsidR="0068087D" w:rsidRPr="00A464CF">
              <w:rPr>
                <w:rFonts w:eastAsia="Times New Roman"/>
                <w:sz w:val="22"/>
                <w:szCs w:val="22"/>
              </w:rPr>
              <w:t>Đã ban hành Nghị định số 116/2018/NĐ-CP ngày 07/09/2020 sửa đổi Nghị định số 55/2015/NĐ-CP về tín dụng nông nghiệp, nông thôn</w:t>
            </w:r>
            <w:r w:rsidR="0068087D" w:rsidRPr="00A464CF" w:rsidDel="0068087D">
              <w:rPr>
                <w:rFonts w:eastAsia="Times New Roman"/>
                <w:sz w:val="22"/>
                <w:szCs w:val="22"/>
              </w:rPr>
              <w:t xml:space="preserve"> </w:t>
            </w:r>
          </w:p>
        </w:tc>
        <w:tc>
          <w:tcPr>
            <w:tcW w:w="1306" w:type="dxa"/>
            <w:shd w:val="clear" w:color="auto" w:fill="auto"/>
            <w:vAlign w:val="center"/>
            <w:hideMark/>
          </w:tcPr>
          <w:p w14:paraId="33693864" w14:textId="77777777" w:rsidR="00DB1D87" w:rsidRPr="00A464CF" w:rsidRDefault="00DB1D87" w:rsidP="00DB1D87">
            <w:pPr>
              <w:rPr>
                <w:rFonts w:eastAsia="Times New Roman"/>
                <w:sz w:val="22"/>
                <w:szCs w:val="22"/>
              </w:rPr>
            </w:pPr>
            <w:r w:rsidRPr="00A464CF">
              <w:rPr>
                <w:rFonts w:eastAsia="Times New Roman"/>
                <w:sz w:val="22"/>
                <w:szCs w:val="22"/>
              </w:rPr>
              <w:t>Đã triển khai và đạt kết quả rõ ràng</w:t>
            </w:r>
          </w:p>
        </w:tc>
      </w:tr>
      <w:tr w:rsidR="00A464CF" w:rsidRPr="00A464CF" w14:paraId="6DCEDEAE" w14:textId="77777777" w:rsidTr="00AA2D1A">
        <w:trPr>
          <w:trHeight w:val="133"/>
        </w:trPr>
        <w:tc>
          <w:tcPr>
            <w:tcW w:w="708" w:type="dxa"/>
            <w:shd w:val="clear" w:color="auto" w:fill="auto"/>
            <w:noWrap/>
            <w:vAlign w:val="center"/>
            <w:hideMark/>
          </w:tcPr>
          <w:p w14:paraId="664B62EF" w14:textId="77777777" w:rsidR="00DB1D87" w:rsidRPr="00A464CF" w:rsidRDefault="00DB1D87" w:rsidP="00DB1D87">
            <w:pPr>
              <w:jc w:val="center"/>
              <w:rPr>
                <w:rFonts w:eastAsia="Times New Roman"/>
                <w:sz w:val="22"/>
                <w:szCs w:val="22"/>
              </w:rPr>
            </w:pPr>
            <w:r w:rsidRPr="00A464CF">
              <w:rPr>
                <w:rFonts w:eastAsia="Times New Roman"/>
                <w:sz w:val="22"/>
                <w:szCs w:val="22"/>
              </w:rPr>
              <w:t>6</w:t>
            </w:r>
          </w:p>
        </w:tc>
        <w:tc>
          <w:tcPr>
            <w:tcW w:w="5378" w:type="dxa"/>
            <w:shd w:val="clear" w:color="auto" w:fill="auto"/>
            <w:vAlign w:val="center"/>
            <w:hideMark/>
          </w:tcPr>
          <w:p w14:paraId="751F5AD7" w14:textId="77777777" w:rsidR="00DB1D87" w:rsidRPr="00A464CF" w:rsidRDefault="00DB1D87" w:rsidP="00DB1D87">
            <w:pPr>
              <w:jc w:val="both"/>
              <w:rPr>
                <w:rFonts w:eastAsia="Times New Roman"/>
                <w:sz w:val="22"/>
                <w:szCs w:val="22"/>
              </w:rPr>
            </w:pPr>
            <w:r w:rsidRPr="00A464CF">
              <w:rPr>
                <w:rFonts w:eastAsia="Times New Roman"/>
                <w:sz w:val="22"/>
                <w:szCs w:val="22"/>
              </w:rPr>
              <w:t>Tiếp tục đầu tư đẩy mạnh thực hiện chương trình xây dựng thương hiệu nông sản, thủy sản Việt Nam. Đồng thời tiếp tục đầu tư phát triển, hiện đại hóa kết cấu hạ tầng nông nghiệp, nông thôn; tăng cường năng lực phòng, chống, giảm nhẹ thiên tai, ứng phó với biến đổi khí hậu, hợp tác sử dụng có hiệu quả, bền vững nguồn nước xuyên quốc gia, bảo vệ môi trường sinh thái.</w:t>
            </w:r>
          </w:p>
        </w:tc>
        <w:tc>
          <w:tcPr>
            <w:tcW w:w="7771" w:type="dxa"/>
            <w:shd w:val="clear" w:color="auto" w:fill="auto"/>
            <w:vAlign w:val="center"/>
            <w:hideMark/>
          </w:tcPr>
          <w:p w14:paraId="4EECD926" w14:textId="77777777" w:rsidR="00DB1D87" w:rsidRPr="00A464CF" w:rsidRDefault="00DB1D87" w:rsidP="00DB1D87">
            <w:pPr>
              <w:jc w:val="both"/>
              <w:rPr>
                <w:rFonts w:eastAsia="Times New Roman"/>
                <w:sz w:val="22"/>
                <w:szCs w:val="22"/>
              </w:rPr>
            </w:pPr>
            <w:r w:rsidRPr="00A464CF">
              <w:rPr>
                <w:rFonts w:eastAsia="Times New Roman"/>
                <w:sz w:val="22"/>
                <w:szCs w:val="22"/>
              </w:rPr>
              <w:t>Bộ Nông nghiệp và Phát triển nông thôn đã xây dựng Chương trình phát triển thương hiệu nông sản chủ lực đến năm 2020, trong đó đề xuất tập trung vào năm mặt hàng có thế mạnh là xoài, thanh long, chè, cà-phê và cá tra. Tuy nhiên, việc phát triển thương hiệu nông sản, thủy sản Việt Nam còn hạn chế. 90% nông sản của Việt Nam hiện vẫn xuất khẩu dưới dạng thô với giá thấp hơn các sản phẩm cùng loại của nhiều nước khác. Có đến hơn 80% nông sản chưa xây dựng được thương hiệu, chưa có lô-gô, nhãn mác, buộc phải bán ra thị trường thế giới thông qua các thương hiệu nước ngoài.</w:t>
            </w:r>
          </w:p>
        </w:tc>
        <w:tc>
          <w:tcPr>
            <w:tcW w:w="1306" w:type="dxa"/>
            <w:shd w:val="clear" w:color="auto" w:fill="auto"/>
            <w:vAlign w:val="center"/>
            <w:hideMark/>
          </w:tcPr>
          <w:p w14:paraId="6F536822"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1FDF96BF" w14:textId="77777777" w:rsidTr="00AA2D1A">
        <w:trPr>
          <w:trHeight w:val="70"/>
        </w:trPr>
        <w:tc>
          <w:tcPr>
            <w:tcW w:w="708" w:type="dxa"/>
            <w:shd w:val="clear" w:color="auto" w:fill="auto"/>
            <w:noWrap/>
            <w:vAlign w:val="center"/>
            <w:hideMark/>
          </w:tcPr>
          <w:p w14:paraId="34419CA4" w14:textId="77777777" w:rsidR="00DB1D87" w:rsidRPr="00A464CF" w:rsidRDefault="00DB1D87" w:rsidP="00DB1D87">
            <w:pPr>
              <w:jc w:val="center"/>
              <w:rPr>
                <w:rFonts w:eastAsia="Times New Roman"/>
                <w:sz w:val="22"/>
                <w:szCs w:val="22"/>
              </w:rPr>
            </w:pPr>
            <w:r w:rsidRPr="00A464CF">
              <w:rPr>
                <w:rFonts w:eastAsia="Times New Roman"/>
                <w:sz w:val="22"/>
                <w:szCs w:val="22"/>
              </w:rPr>
              <w:t>7</w:t>
            </w:r>
          </w:p>
        </w:tc>
        <w:tc>
          <w:tcPr>
            <w:tcW w:w="5378" w:type="dxa"/>
            <w:shd w:val="clear" w:color="auto" w:fill="auto"/>
            <w:vAlign w:val="center"/>
            <w:hideMark/>
          </w:tcPr>
          <w:p w14:paraId="54231AEA" w14:textId="77777777" w:rsidR="00DB1D87" w:rsidRPr="00A464CF" w:rsidRDefault="00DB1D87" w:rsidP="00DB1D87">
            <w:pPr>
              <w:jc w:val="both"/>
              <w:rPr>
                <w:rFonts w:eastAsia="Times New Roman"/>
                <w:sz w:val="22"/>
                <w:szCs w:val="22"/>
              </w:rPr>
            </w:pPr>
            <w:r w:rsidRPr="00A464CF">
              <w:rPr>
                <w:rFonts w:eastAsia="Times New Roman"/>
                <w:sz w:val="22"/>
                <w:szCs w:val="22"/>
              </w:rPr>
              <w:t xml:space="preserve">Nghiên cứu sửa đổi, nâng cao tiêu chuẩn chất lượng sản phẩm nông nghiệp theo tiêu chuẩn quốc tế. Xây dựng chương trình hỗ trợ doanh nghiệp, nông dân đáp ứng các tiêu chuẩn chất lượng sửa đổi. Thúc đẩy toàn diện việc áp dụng VietGAP và các tiêu chuẩn tương tự trong sản xuất </w:t>
            </w:r>
            <w:r w:rsidRPr="00A464CF">
              <w:rPr>
                <w:rFonts w:eastAsia="Times New Roman"/>
                <w:sz w:val="22"/>
                <w:szCs w:val="22"/>
              </w:rPr>
              <w:lastRenderedPageBreak/>
              <w:t>nông nghiệp, phát triển mạnh thị trường các nông sản áp dụng VietGAP.</w:t>
            </w:r>
          </w:p>
        </w:tc>
        <w:tc>
          <w:tcPr>
            <w:tcW w:w="7771" w:type="dxa"/>
            <w:shd w:val="clear" w:color="auto" w:fill="auto"/>
            <w:vAlign w:val="center"/>
            <w:hideMark/>
          </w:tcPr>
          <w:p w14:paraId="61CC6CF4" w14:textId="77777777" w:rsidR="00DB1D87" w:rsidRPr="00A464CF" w:rsidRDefault="00DB1D87" w:rsidP="00DB1D87">
            <w:pPr>
              <w:jc w:val="both"/>
              <w:rPr>
                <w:rFonts w:eastAsia="Times New Roman"/>
                <w:sz w:val="22"/>
                <w:szCs w:val="22"/>
              </w:rPr>
            </w:pPr>
            <w:r w:rsidRPr="00A464CF">
              <w:rPr>
                <w:rFonts w:eastAsia="Times New Roman"/>
                <w:sz w:val="22"/>
                <w:szCs w:val="22"/>
              </w:rPr>
              <w:lastRenderedPageBreak/>
              <w:t xml:space="preserve">Các quy trình sản xuất tiên tiến, thân thiện với môi trường được phổ biến nhân rộng, xây dựng VietGap cho rau, quả tươi. Sản xuất lúa gạo đã áp dụng các biện pháp kỹ thuật tiên tiến, thân thiện với môi trường, tăng cường ứng dụng cơ giới hóa, giảm chi phí và tổn thất. Nhiều cơ sở chăn nuôi công nghiệp được xây dựng theo mô hình trang trại chăn nuôi tập trung áp dụng công nghệ cao hoặc chăn nuôi khép kín từ con giống, </w:t>
            </w:r>
            <w:r w:rsidRPr="00A464CF">
              <w:rPr>
                <w:rFonts w:eastAsia="Times New Roman"/>
                <w:sz w:val="22"/>
                <w:szCs w:val="22"/>
              </w:rPr>
              <w:lastRenderedPageBreak/>
              <w:t>vật tư đầu vào đến khâu sản xuất và sản phẩm đầu ra. Đến nay, cả nước có hơn 200 mô hình vật tư chăn nuôi áp dụng VietGAP được cấp chứng nhận với quy mô khá lớn. Tuy nhiên, công tác hậu kiểm còn hạn chế, dẫn đến khó khăn trong phân biệt các sản phẩm theo tiêu chuẩn sản xuất sạch, sản xuất tiêu chuẩn với các sản phẩm khác trên thị trường</w:t>
            </w:r>
          </w:p>
        </w:tc>
        <w:tc>
          <w:tcPr>
            <w:tcW w:w="1306" w:type="dxa"/>
            <w:shd w:val="clear" w:color="auto" w:fill="auto"/>
            <w:vAlign w:val="center"/>
            <w:hideMark/>
          </w:tcPr>
          <w:p w14:paraId="7A7CC6B2" w14:textId="77777777" w:rsidR="00DB1D87" w:rsidRPr="00A464CF" w:rsidRDefault="00DB1D87" w:rsidP="00DB1D87">
            <w:pPr>
              <w:rPr>
                <w:rFonts w:eastAsia="Times New Roman"/>
                <w:sz w:val="22"/>
                <w:szCs w:val="22"/>
              </w:rPr>
            </w:pPr>
            <w:r w:rsidRPr="00A464CF">
              <w:rPr>
                <w:rFonts w:eastAsia="Times New Roman"/>
                <w:sz w:val="22"/>
                <w:szCs w:val="22"/>
              </w:rPr>
              <w:lastRenderedPageBreak/>
              <w:t>Đã triển khai và có kết quả bước đầu</w:t>
            </w:r>
          </w:p>
        </w:tc>
      </w:tr>
      <w:tr w:rsidR="00A464CF" w:rsidRPr="00A464CF" w14:paraId="2804FCAD" w14:textId="77777777" w:rsidTr="00AA2D1A">
        <w:trPr>
          <w:trHeight w:val="1119"/>
        </w:trPr>
        <w:tc>
          <w:tcPr>
            <w:tcW w:w="708" w:type="dxa"/>
            <w:shd w:val="clear" w:color="auto" w:fill="auto"/>
            <w:noWrap/>
            <w:vAlign w:val="center"/>
            <w:hideMark/>
          </w:tcPr>
          <w:p w14:paraId="5FA6EF6E" w14:textId="77777777" w:rsidR="00DB1D87" w:rsidRPr="00A464CF" w:rsidRDefault="00DB1D87" w:rsidP="00DB1D87">
            <w:pPr>
              <w:jc w:val="center"/>
              <w:rPr>
                <w:rFonts w:eastAsia="Times New Roman"/>
                <w:sz w:val="22"/>
                <w:szCs w:val="22"/>
              </w:rPr>
            </w:pPr>
            <w:r w:rsidRPr="00A464CF">
              <w:rPr>
                <w:rFonts w:eastAsia="Times New Roman"/>
                <w:sz w:val="22"/>
                <w:szCs w:val="22"/>
              </w:rPr>
              <w:lastRenderedPageBreak/>
              <w:t>8</w:t>
            </w:r>
          </w:p>
        </w:tc>
        <w:tc>
          <w:tcPr>
            <w:tcW w:w="5378" w:type="dxa"/>
            <w:shd w:val="clear" w:color="auto" w:fill="auto"/>
            <w:vAlign w:val="center"/>
            <w:hideMark/>
          </w:tcPr>
          <w:p w14:paraId="223C4B32" w14:textId="77777777" w:rsidR="00DB1D87" w:rsidRPr="00A464CF" w:rsidRDefault="00DB1D87" w:rsidP="00DB1D87">
            <w:pPr>
              <w:jc w:val="both"/>
              <w:rPr>
                <w:rFonts w:eastAsia="Times New Roman"/>
                <w:sz w:val="22"/>
                <w:szCs w:val="22"/>
              </w:rPr>
            </w:pPr>
            <w:r w:rsidRPr="00A464CF">
              <w:rPr>
                <w:rFonts w:eastAsia="Times New Roman"/>
                <w:sz w:val="22"/>
                <w:szCs w:val="22"/>
              </w:rPr>
              <w:t>Nghiên cứu sửa đổi các biện pháp, chính sách khuyến khích phát triển mạnh công nghiệp chế biến sâu, chế biến tinh nông, lâm, thủy sản; phát triển công nghiệp và dịch vụ ở nông thôn, góp phần tạo việc làm và chuyển đổi cơ cấu lao động nông nghiệp, nâng cao đời sống vật chất, tinh thần của người dân.</w:t>
            </w:r>
          </w:p>
        </w:tc>
        <w:tc>
          <w:tcPr>
            <w:tcW w:w="7771" w:type="dxa"/>
            <w:shd w:val="clear" w:color="auto" w:fill="auto"/>
            <w:vAlign w:val="center"/>
            <w:hideMark/>
          </w:tcPr>
          <w:p w14:paraId="7E1D76C8" w14:textId="77777777" w:rsidR="00DB1D87" w:rsidRPr="00A464CF" w:rsidRDefault="00DB1D87" w:rsidP="00DB1D87">
            <w:pPr>
              <w:jc w:val="both"/>
              <w:rPr>
                <w:rFonts w:eastAsia="Times New Roman"/>
                <w:sz w:val="22"/>
                <w:szCs w:val="22"/>
              </w:rPr>
            </w:pPr>
            <w:r w:rsidRPr="00A464CF">
              <w:rPr>
                <w:rFonts w:eastAsia="Times New Roman"/>
                <w:sz w:val="22"/>
                <w:szCs w:val="22"/>
              </w:rPr>
              <w:t>Nghị định số 57/2018/NĐ-CP ngày 17/04/2018 của Chính phủ về cơ chế, chính sách khuyến khích doanh nghiệp đầu tư vào nông nghiệp, nông thôn là một giải pháp để khuyến khích doanh nghiệp đầu tư phát triển công nghiệp chế biến. Công nghiệp chế biến nông sản từng bước được đổi mới đã tạo cơ hội cho các sản phẩm nông sản Việt Nam xuất khẩu sang các thị trường khó tính như Nhật Bản, Mỹ, Úc. Tuy nhiên, nhìn chung các khuyến khích hiện hành chưa tạo đột phá trong ngành chế biến nông sản của Việt Nam. Các sản phẩm xuất khẩu vẫn chủ yếu là sản phẩm sơ chế thô, làm nguyên liệu đầu vào cho chế biến tinh tại một số nước khác</w:t>
            </w:r>
          </w:p>
        </w:tc>
        <w:tc>
          <w:tcPr>
            <w:tcW w:w="1306" w:type="dxa"/>
            <w:shd w:val="clear" w:color="auto" w:fill="auto"/>
            <w:vAlign w:val="center"/>
            <w:hideMark/>
          </w:tcPr>
          <w:p w14:paraId="4B62CAA5"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69226A8D" w14:textId="77777777" w:rsidTr="00AA2D1A">
        <w:trPr>
          <w:trHeight w:val="1821"/>
        </w:trPr>
        <w:tc>
          <w:tcPr>
            <w:tcW w:w="708" w:type="dxa"/>
            <w:shd w:val="clear" w:color="auto" w:fill="auto"/>
            <w:noWrap/>
            <w:vAlign w:val="center"/>
            <w:hideMark/>
          </w:tcPr>
          <w:p w14:paraId="625E3F6E" w14:textId="77777777" w:rsidR="00DB1D87" w:rsidRPr="00A464CF" w:rsidRDefault="00DB1D87" w:rsidP="00DB1D87">
            <w:pPr>
              <w:jc w:val="center"/>
              <w:rPr>
                <w:rFonts w:eastAsia="Times New Roman"/>
                <w:sz w:val="22"/>
                <w:szCs w:val="22"/>
              </w:rPr>
            </w:pPr>
            <w:r w:rsidRPr="00A464CF">
              <w:rPr>
                <w:rFonts w:eastAsia="Times New Roman"/>
                <w:sz w:val="22"/>
                <w:szCs w:val="22"/>
              </w:rPr>
              <w:t>9</w:t>
            </w:r>
          </w:p>
        </w:tc>
        <w:tc>
          <w:tcPr>
            <w:tcW w:w="5378" w:type="dxa"/>
            <w:shd w:val="clear" w:color="auto" w:fill="auto"/>
            <w:vAlign w:val="center"/>
            <w:hideMark/>
          </w:tcPr>
          <w:p w14:paraId="54B43CD8" w14:textId="77777777" w:rsidR="00DB1D87" w:rsidRPr="00A464CF" w:rsidRDefault="00DB1D87" w:rsidP="00DB1D87">
            <w:pPr>
              <w:jc w:val="both"/>
              <w:rPr>
                <w:rFonts w:eastAsia="Times New Roman"/>
                <w:sz w:val="22"/>
                <w:szCs w:val="22"/>
              </w:rPr>
            </w:pPr>
            <w:r w:rsidRPr="00A464CF">
              <w:rPr>
                <w:rFonts w:eastAsia="Times New Roman"/>
                <w:sz w:val="22"/>
                <w:szCs w:val="22"/>
              </w:rPr>
              <w:t>Tập trung đầu tư phát triển, hiện đại hóa kết cấu hạ tầng nông nghiệp, nông thôn; tăng cường năng lực phòng, chống, giảm nhẹ thiên tai, ứng phó với biến đổi khí hậu, hợp tác sử dụng có hiệu quả, bền vững nguồn nước xuyên quốc gia; bảo vệ môi trường sinh thái</w:t>
            </w:r>
          </w:p>
        </w:tc>
        <w:tc>
          <w:tcPr>
            <w:tcW w:w="7771" w:type="dxa"/>
            <w:shd w:val="clear" w:color="auto" w:fill="auto"/>
            <w:vAlign w:val="center"/>
            <w:hideMark/>
          </w:tcPr>
          <w:p w14:paraId="218F1B2A" w14:textId="77777777" w:rsidR="00DB1D87" w:rsidRPr="00A464CF" w:rsidRDefault="00DB1D87" w:rsidP="00DB1D87">
            <w:pPr>
              <w:jc w:val="both"/>
              <w:rPr>
                <w:rFonts w:eastAsia="Times New Roman"/>
                <w:sz w:val="22"/>
                <w:szCs w:val="22"/>
              </w:rPr>
            </w:pPr>
            <w:r w:rsidRPr="00A464CF">
              <w:rPr>
                <w:rFonts w:eastAsia="Times New Roman"/>
                <w:sz w:val="22"/>
                <w:szCs w:val="22"/>
              </w:rPr>
              <w:t>Bộ Kế hoạch và Đầu tư đã phối hợp với Bộ Nông nghiệp và Phát triển nông thôn, Bộ Tài chính và các Bộ, ngành liên quan trong phân bổ vốn và thực hiện các dự án đầu tư công cho lĩnh vực nông nghiệp, nông thôn, xây dựng nông thôn mới. Đã thực hiện ưu tiên nguồn lực để phòng chống, giảm nhẹ thiên tai: Khắc phục hạn mặn ĐBSCL; Khắc phục sạt lở ĐBSCL; Khắc phục, sửa chữa hệ thống đê điều sau bão lũ; Sửa chữa, nâng cấp đảm bảo an toàn hồ chứa. Mỗi năm dự phòng NSTW bố trí thêm cho công tác phòng chống, giảm nhẹ thiên tai khoảng 8-10 nghìn tỷ đồng. Tuy nhiên, hệ thống hạ tầng phục vụ cho sản xuất nông nghiệp như nuôi trồng thủy sản, chăn nuôi, trồng trọt mặc dù đã được đẩy mạnh đầu tư, nhưng do nguồn vốn hạn chế nên vẫn chưa đạt yêu cầu đề ra.</w:t>
            </w:r>
          </w:p>
        </w:tc>
        <w:tc>
          <w:tcPr>
            <w:tcW w:w="1306" w:type="dxa"/>
            <w:shd w:val="clear" w:color="auto" w:fill="auto"/>
            <w:vAlign w:val="center"/>
            <w:hideMark/>
          </w:tcPr>
          <w:p w14:paraId="0A11D4EE"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4BC3EA85" w14:textId="77777777" w:rsidTr="00AA2D1A">
        <w:trPr>
          <w:trHeight w:val="551"/>
        </w:trPr>
        <w:tc>
          <w:tcPr>
            <w:tcW w:w="708" w:type="dxa"/>
            <w:shd w:val="clear" w:color="auto" w:fill="auto"/>
            <w:noWrap/>
            <w:vAlign w:val="center"/>
            <w:hideMark/>
          </w:tcPr>
          <w:p w14:paraId="685E96FC" w14:textId="77777777" w:rsidR="00DB1D87" w:rsidRPr="00A464CF" w:rsidRDefault="00DB1D87" w:rsidP="00DB1D87">
            <w:pPr>
              <w:jc w:val="center"/>
              <w:rPr>
                <w:rFonts w:eastAsia="Times New Roman"/>
                <w:sz w:val="22"/>
                <w:szCs w:val="22"/>
              </w:rPr>
            </w:pPr>
            <w:r w:rsidRPr="00A464CF">
              <w:rPr>
                <w:rFonts w:eastAsia="Times New Roman"/>
                <w:sz w:val="22"/>
                <w:szCs w:val="22"/>
              </w:rPr>
              <w:t>10</w:t>
            </w:r>
          </w:p>
        </w:tc>
        <w:tc>
          <w:tcPr>
            <w:tcW w:w="5378" w:type="dxa"/>
            <w:shd w:val="clear" w:color="auto" w:fill="auto"/>
            <w:vAlign w:val="center"/>
            <w:hideMark/>
          </w:tcPr>
          <w:p w14:paraId="0FD333BE" w14:textId="77777777" w:rsidR="00DB1D87" w:rsidRPr="00A464CF" w:rsidRDefault="00DB1D87" w:rsidP="00DB1D87">
            <w:pPr>
              <w:jc w:val="both"/>
              <w:rPr>
                <w:rFonts w:eastAsia="Times New Roman"/>
                <w:sz w:val="22"/>
                <w:szCs w:val="22"/>
              </w:rPr>
            </w:pPr>
            <w:r w:rsidRPr="00A464CF">
              <w:rPr>
                <w:rFonts w:eastAsia="Times New Roman"/>
                <w:sz w:val="22"/>
                <w:szCs w:val="22"/>
              </w:rPr>
              <w:t>Bảo đảm việc lập, phê duyệt và tổ chức thực hiện quy hoạch, kế hoạch sử dụng đất theo quy định, bảo đảm tài nguyên đất đai được bố trí sử dụng cho các mục đích nông nghiệp, phi nông nghiệp hợp lý, tiết kiệm, hiệu quả và bền vững, phù hợp với điều kiện tự nhiên, kinh tế - xã hội của từng vùng, từng địa phương; khắc phục tình trạng quy hoạch không ổn định, xung đột về sử dụng đất giữa các lĩnh vực, giữa các ngành hàng trong cùng một lĩnh vực có tác động tiêu cực đến quyền và lợi ích của các nhà đầu tư</w:t>
            </w:r>
          </w:p>
        </w:tc>
        <w:tc>
          <w:tcPr>
            <w:tcW w:w="7771" w:type="dxa"/>
            <w:shd w:val="clear" w:color="auto" w:fill="auto"/>
            <w:vAlign w:val="center"/>
            <w:hideMark/>
          </w:tcPr>
          <w:p w14:paraId="3474AC9B" w14:textId="77777777" w:rsidR="00DB1D87" w:rsidRPr="00A464CF" w:rsidRDefault="00DB1D87" w:rsidP="00DB1D87">
            <w:pPr>
              <w:jc w:val="both"/>
              <w:rPr>
                <w:rFonts w:eastAsia="Times New Roman"/>
                <w:sz w:val="22"/>
                <w:szCs w:val="22"/>
              </w:rPr>
            </w:pPr>
            <w:r w:rsidRPr="00A464CF">
              <w:rPr>
                <w:rFonts w:eastAsia="Times New Roman"/>
                <w:sz w:val="22"/>
                <w:szCs w:val="22"/>
              </w:rPr>
              <w:t>Đến nay, quy hoạch sử dụng đất đến năm 2020 của 63/63 tỉnh, thành phố trực thuộc Trung ương đã được Chính phủ phê duyệt; điều chỉnh quy hoạch đến năm 2020 và kế hoạch sử dụng đất kỳ cuối (2016-2020) cấp quốc gia đã được Quốc hội thông qua. Hiện nay, các tỉnh đang hoàn thiện báo cáo điều chỉnh quy hoạch, kế hoạch sử dụng đất theo ý kiến của Hội đồng thẩm định để trình Hội đồng nhân dân cấp tỉnh thông qua trước khi trình Chính phủ phê duyệt.</w:t>
            </w:r>
          </w:p>
          <w:p w14:paraId="7B0E9311" w14:textId="77777777" w:rsidR="00DB1D87" w:rsidRPr="00A464CF" w:rsidRDefault="00DB1D87" w:rsidP="00DB1D87">
            <w:pPr>
              <w:jc w:val="both"/>
              <w:rPr>
                <w:rFonts w:eastAsia="Times New Roman"/>
                <w:sz w:val="22"/>
                <w:szCs w:val="22"/>
              </w:rPr>
            </w:pPr>
            <w:r w:rsidRPr="00A464CF">
              <w:rPr>
                <w:rFonts w:eastAsia="Times New Roman"/>
                <w:sz w:val="22"/>
                <w:szCs w:val="22"/>
              </w:rPr>
              <w:t>Tuy nhiên, ở một số địa phương vẫn còn tình trạng chưa đồng bộ, chưa có sự thống nhất giữa các quy hoạch ngành, lĩnh vực, quy hoạch sử dụng đất với các quy hoạch khác có liên quan như yêu cầu trong Nghị quyết số 134/2016/QH13 của Quốc hội; vẫn còn tình trạng chưa kịp thời hủy bỏ, điều chỉnh quy hoạch các dự án treo gây bức xúc trong dư luận.</w:t>
            </w:r>
          </w:p>
        </w:tc>
        <w:tc>
          <w:tcPr>
            <w:tcW w:w="1306" w:type="dxa"/>
            <w:shd w:val="clear" w:color="auto" w:fill="auto"/>
            <w:vAlign w:val="center"/>
            <w:hideMark/>
          </w:tcPr>
          <w:p w14:paraId="792CEE6E"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14AE3BA2" w14:textId="77777777" w:rsidTr="00AA2D1A">
        <w:trPr>
          <w:trHeight w:val="350"/>
        </w:trPr>
        <w:tc>
          <w:tcPr>
            <w:tcW w:w="708" w:type="dxa"/>
            <w:shd w:val="clear" w:color="auto" w:fill="auto"/>
            <w:noWrap/>
            <w:vAlign w:val="center"/>
            <w:hideMark/>
          </w:tcPr>
          <w:p w14:paraId="3608D432" w14:textId="77777777" w:rsidR="00DB1D87" w:rsidRPr="00A464CF" w:rsidRDefault="00DB1D87" w:rsidP="00DB1D87">
            <w:pPr>
              <w:jc w:val="center"/>
              <w:rPr>
                <w:rFonts w:eastAsia="Times New Roman"/>
                <w:b/>
                <w:bCs/>
                <w:sz w:val="22"/>
                <w:szCs w:val="22"/>
              </w:rPr>
            </w:pPr>
            <w:r w:rsidRPr="00A464CF">
              <w:rPr>
                <w:rFonts w:eastAsia="Times New Roman"/>
                <w:b/>
                <w:bCs/>
                <w:sz w:val="22"/>
                <w:szCs w:val="22"/>
              </w:rPr>
              <w:t>XI</w:t>
            </w:r>
          </w:p>
        </w:tc>
        <w:tc>
          <w:tcPr>
            <w:tcW w:w="14455" w:type="dxa"/>
            <w:gridSpan w:val="3"/>
            <w:shd w:val="clear" w:color="auto" w:fill="auto"/>
            <w:vAlign w:val="center"/>
            <w:hideMark/>
          </w:tcPr>
          <w:p w14:paraId="0BC160E0" w14:textId="77777777" w:rsidR="00DB1D87" w:rsidRPr="00A464CF" w:rsidRDefault="00DB1D87" w:rsidP="00DB1D87">
            <w:pPr>
              <w:rPr>
                <w:rFonts w:eastAsia="Times New Roman"/>
                <w:b/>
                <w:bCs/>
                <w:sz w:val="22"/>
                <w:szCs w:val="22"/>
              </w:rPr>
            </w:pPr>
            <w:r w:rsidRPr="00A464CF">
              <w:rPr>
                <w:rFonts w:eastAsia="Times New Roman"/>
                <w:b/>
                <w:bCs/>
                <w:sz w:val="22"/>
                <w:szCs w:val="22"/>
              </w:rPr>
              <w:t>Cơ cấu lại một cách thực chất các ngành công nghiệp</w:t>
            </w:r>
          </w:p>
        </w:tc>
      </w:tr>
      <w:tr w:rsidR="00A464CF" w:rsidRPr="00A464CF" w14:paraId="33860846" w14:textId="77777777" w:rsidTr="00AA2D1A">
        <w:trPr>
          <w:trHeight w:val="568"/>
        </w:trPr>
        <w:tc>
          <w:tcPr>
            <w:tcW w:w="708" w:type="dxa"/>
            <w:shd w:val="clear" w:color="auto" w:fill="auto"/>
            <w:noWrap/>
            <w:vAlign w:val="center"/>
            <w:hideMark/>
          </w:tcPr>
          <w:p w14:paraId="7B32698C" w14:textId="77777777" w:rsidR="00DB1D87" w:rsidRPr="00A464CF" w:rsidRDefault="00DB1D87" w:rsidP="00DB1D87">
            <w:pPr>
              <w:jc w:val="center"/>
              <w:rPr>
                <w:rFonts w:eastAsia="Times New Roman"/>
                <w:sz w:val="22"/>
                <w:szCs w:val="22"/>
              </w:rPr>
            </w:pPr>
            <w:r w:rsidRPr="00A464CF">
              <w:rPr>
                <w:rFonts w:eastAsia="Times New Roman"/>
                <w:sz w:val="22"/>
                <w:szCs w:val="22"/>
              </w:rPr>
              <w:t>1</w:t>
            </w:r>
          </w:p>
        </w:tc>
        <w:tc>
          <w:tcPr>
            <w:tcW w:w="5378" w:type="dxa"/>
            <w:shd w:val="clear" w:color="auto" w:fill="auto"/>
            <w:vAlign w:val="center"/>
            <w:hideMark/>
          </w:tcPr>
          <w:p w14:paraId="58082CCC" w14:textId="77777777" w:rsidR="00DB1D87" w:rsidRPr="00A464CF" w:rsidRDefault="00DB1D87" w:rsidP="00DB1D87">
            <w:pPr>
              <w:jc w:val="both"/>
              <w:rPr>
                <w:rFonts w:eastAsia="Times New Roman"/>
                <w:sz w:val="22"/>
                <w:szCs w:val="22"/>
              </w:rPr>
            </w:pPr>
            <w:r w:rsidRPr="00A464CF">
              <w:rPr>
                <w:rFonts w:eastAsia="Times New Roman"/>
                <w:sz w:val="22"/>
                <w:szCs w:val="22"/>
              </w:rPr>
              <w:t xml:space="preserve">Đổi mới cơ chế, chính sách khuyến khích phát triển các doanh nghiệp tư nhân trong các ngành công nghiệp ưu tiên </w:t>
            </w:r>
            <w:r w:rsidRPr="00A464CF">
              <w:rPr>
                <w:rFonts w:eastAsia="Times New Roman"/>
                <w:sz w:val="22"/>
                <w:szCs w:val="22"/>
              </w:rPr>
              <w:lastRenderedPageBreak/>
              <w:t>theo hướng hỗ trợ có trọng tâm, trọng điểm. Xây dựng và trình Thủ tướng Chính phủ ban hành trước năm 2018 Quyết định về cơ chế, chính sách khuyến khích doanh nghiệp tư nhân lớn đầu tư dài hạn, tạo dựng sản phẩm và thương hiệu mạnh, có sức cạnh tranh trong nước và quốc tế.</w:t>
            </w:r>
          </w:p>
        </w:tc>
        <w:tc>
          <w:tcPr>
            <w:tcW w:w="7771" w:type="dxa"/>
            <w:shd w:val="clear" w:color="auto" w:fill="auto"/>
            <w:vAlign w:val="center"/>
            <w:hideMark/>
          </w:tcPr>
          <w:p w14:paraId="4CAB8193" w14:textId="77777777" w:rsidR="00DB1D87" w:rsidRPr="00A464CF" w:rsidRDefault="00DB1D87" w:rsidP="00DB1D87">
            <w:pPr>
              <w:jc w:val="both"/>
              <w:rPr>
                <w:rFonts w:eastAsia="Times New Roman"/>
                <w:sz w:val="22"/>
                <w:szCs w:val="22"/>
              </w:rPr>
            </w:pPr>
            <w:r w:rsidRPr="00A464CF">
              <w:rPr>
                <w:rFonts w:eastAsia="Times New Roman"/>
                <w:sz w:val="22"/>
                <w:szCs w:val="22"/>
              </w:rPr>
              <w:lastRenderedPageBreak/>
              <w:t xml:space="preserve">Hiện nay, các  chính sách riêng để hỗ trợ doanh nghiệp tư nhân trong các ngành công nghiệp ưu tiên vẫ đang được xây dựng. Các hỗ trợ khu vực tư nhân hiện hành được </w:t>
            </w:r>
            <w:r w:rsidRPr="00A464CF">
              <w:rPr>
                <w:rFonts w:eastAsia="Times New Roman"/>
                <w:sz w:val="22"/>
                <w:szCs w:val="22"/>
              </w:rPr>
              <w:lastRenderedPageBreak/>
              <w:t>thực hiện theo các luật có liên quan. Bộ Công Thương đang xây dựng dự thảo Quyết định về cơ chế, chính sách khuyến khích doanh nghiệp tư nhân lớn đầu tư dài hạn, tạo dựng sản phẩm và thương hiệu mạnh, có sức cạnh tranh trong nước và quốc tế</w:t>
            </w:r>
          </w:p>
        </w:tc>
        <w:tc>
          <w:tcPr>
            <w:tcW w:w="1306" w:type="dxa"/>
            <w:shd w:val="clear" w:color="auto" w:fill="auto"/>
            <w:vAlign w:val="center"/>
            <w:hideMark/>
          </w:tcPr>
          <w:p w14:paraId="6A96BAB8" w14:textId="77777777" w:rsidR="00DB1D87" w:rsidRPr="00A464CF" w:rsidRDefault="00DB1D87" w:rsidP="00DB1D87">
            <w:pPr>
              <w:rPr>
                <w:rFonts w:eastAsia="Times New Roman"/>
                <w:sz w:val="22"/>
                <w:szCs w:val="22"/>
              </w:rPr>
            </w:pPr>
            <w:r w:rsidRPr="00A464CF">
              <w:rPr>
                <w:rFonts w:eastAsia="Times New Roman"/>
                <w:sz w:val="22"/>
                <w:szCs w:val="22"/>
              </w:rPr>
              <w:lastRenderedPageBreak/>
              <w:t xml:space="preserve">Đã triển khai và có </w:t>
            </w:r>
            <w:r w:rsidRPr="00A464CF">
              <w:rPr>
                <w:rFonts w:eastAsia="Times New Roman"/>
                <w:sz w:val="22"/>
                <w:szCs w:val="22"/>
              </w:rPr>
              <w:lastRenderedPageBreak/>
              <w:t>kết quả bước đầu</w:t>
            </w:r>
          </w:p>
        </w:tc>
      </w:tr>
      <w:tr w:rsidR="00A464CF" w:rsidRPr="00A464CF" w14:paraId="3484B50B" w14:textId="77777777" w:rsidTr="00AA2D1A">
        <w:trPr>
          <w:trHeight w:val="60"/>
        </w:trPr>
        <w:tc>
          <w:tcPr>
            <w:tcW w:w="708" w:type="dxa"/>
            <w:shd w:val="clear" w:color="auto" w:fill="auto"/>
            <w:noWrap/>
            <w:vAlign w:val="center"/>
            <w:hideMark/>
          </w:tcPr>
          <w:p w14:paraId="37F840B1" w14:textId="77777777" w:rsidR="00DB1D87" w:rsidRPr="00A464CF" w:rsidRDefault="00DB1D87" w:rsidP="00DB1D87">
            <w:pPr>
              <w:jc w:val="center"/>
              <w:rPr>
                <w:rFonts w:eastAsia="Times New Roman"/>
                <w:sz w:val="22"/>
                <w:szCs w:val="22"/>
              </w:rPr>
            </w:pPr>
            <w:r w:rsidRPr="00A464CF">
              <w:rPr>
                <w:rFonts w:eastAsia="Times New Roman"/>
                <w:sz w:val="22"/>
                <w:szCs w:val="22"/>
              </w:rPr>
              <w:lastRenderedPageBreak/>
              <w:t>2</w:t>
            </w:r>
          </w:p>
        </w:tc>
        <w:tc>
          <w:tcPr>
            <w:tcW w:w="5378" w:type="dxa"/>
            <w:shd w:val="clear" w:color="auto" w:fill="auto"/>
            <w:vAlign w:val="center"/>
            <w:hideMark/>
          </w:tcPr>
          <w:p w14:paraId="49D6A948" w14:textId="77777777" w:rsidR="00DB1D87" w:rsidRPr="00A464CF" w:rsidRDefault="00DB1D87" w:rsidP="00DB1D87">
            <w:pPr>
              <w:jc w:val="both"/>
              <w:rPr>
                <w:rFonts w:eastAsia="Times New Roman"/>
                <w:sz w:val="22"/>
                <w:szCs w:val="22"/>
              </w:rPr>
            </w:pPr>
            <w:r w:rsidRPr="00A464CF">
              <w:rPr>
                <w:rFonts w:eastAsia="Times New Roman"/>
                <w:sz w:val="22"/>
                <w:szCs w:val="22"/>
              </w:rPr>
              <w:t>Rà soát, điều chỉnh chính sách phát triển các ngành công nghiệp mũi nhọn. Xây dựng chính sách phát triển dịch vụ tư vấn đầu tư công nghiệp; phát triển và nâng cấp hệ thống cơ sở dữ liệu về công nghiệp Việt Nam (bao gồm cả hệ thống cơ sở dữ liệu về công nghiệp hỗ trợ).</w:t>
            </w:r>
          </w:p>
        </w:tc>
        <w:tc>
          <w:tcPr>
            <w:tcW w:w="7771" w:type="dxa"/>
            <w:shd w:val="clear" w:color="auto" w:fill="auto"/>
            <w:vAlign w:val="center"/>
            <w:hideMark/>
          </w:tcPr>
          <w:p w14:paraId="4B2906F9" w14:textId="77777777" w:rsidR="00DB1D87" w:rsidRPr="00A464CF" w:rsidRDefault="00DB1D87" w:rsidP="00DB1D87">
            <w:pPr>
              <w:jc w:val="both"/>
              <w:rPr>
                <w:rFonts w:eastAsia="Times New Roman"/>
                <w:sz w:val="22"/>
                <w:szCs w:val="22"/>
              </w:rPr>
            </w:pPr>
            <w:r w:rsidRPr="00A464CF">
              <w:rPr>
                <w:rFonts w:eastAsia="Times New Roman"/>
                <w:sz w:val="22"/>
                <w:szCs w:val="22"/>
              </w:rPr>
              <w:footnoteReference w:customMarkFollows="1" w:id="21"/>
              <w:t>Một số chính sách lớn để phát triển các ngành công nghiệp trọng điểm được ban hành như: Quyết định số 68/QĐ-TTg ngày 18/1/2017 ban hành Chương trình phát triển công nghiệp hỗ trợ từ năm 2016 đến năm 2025; Quyết định số 168/QĐ-TTg ngày 07/2/2017 phê duyệt Đề án tái cơ cấu ngành điện giai đoạn 2016-2020, định hướng đến năm 2025; đang nghiên cứu, hoàn thiện Quyết định của Thủ tướng về chính sách hỗ trợ, ưu đãi phát triển sản xuất sản phẩm cơ khí trọng điểm giai đoạn 2017 đến 2025. Tuy nhiên, Cơ sở dữ liệu quốc gia về công nghiệp (bao gồm công nghiệp hỗ trợ) chưa được vận hành đầy đủ.</w:t>
            </w:r>
          </w:p>
        </w:tc>
        <w:tc>
          <w:tcPr>
            <w:tcW w:w="1306" w:type="dxa"/>
            <w:shd w:val="clear" w:color="auto" w:fill="auto"/>
            <w:vAlign w:val="center"/>
            <w:hideMark/>
          </w:tcPr>
          <w:p w14:paraId="7FFD53CC"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272F0D24" w14:textId="77777777" w:rsidTr="00AA2D1A">
        <w:trPr>
          <w:trHeight w:val="992"/>
        </w:trPr>
        <w:tc>
          <w:tcPr>
            <w:tcW w:w="708" w:type="dxa"/>
            <w:shd w:val="clear" w:color="auto" w:fill="auto"/>
            <w:noWrap/>
            <w:vAlign w:val="center"/>
            <w:hideMark/>
          </w:tcPr>
          <w:p w14:paraId="62222B41" w14:textId="77777777" w:rsidR="00DB1D87" w:rsidRPr="00A464CF" w:rsidRDefault="00DB1D87" w:rsidP="00DB1D87">
            <w:pPr>
              <w:jc w:val="center"/>
              <w:rPr>
                <w:rFonts w:eastAsia="Times New Roman"/>
                <w:sz w:val="22"/>
                <w:szCs w:val="22"/>
              </w:rPr>
            </w:pPr>
            <w:r w:rsidRPr="00A464CF">
              <w:rPr>
                <w:rFonts w:eastAsia="Times New Roman"/>
                <w:sz w:val="22"/>
                <w:szCs w:val="22"/>
              </w:rPr>
              <w:t>3</w:t>
            </w:r>
          </w:p>
        </w:tc>
        <w:tc>
          <w:tcPr>
            <w:tcW w:w="5378" w:type="dxa"/>
            <w:shd w:val="clear" w:color="auto" w:fill="auto"/>
            <w:vAlign w:val="center"/>
            <w:hideMark/>
          </w:tcPr>
          <w:p w14:paraId="53E248A9" w14:textId="77777777" w:rsidR="00DB1D87" w:rsidRPr="00A464CF" w:rsidRDefault="00DB1D87" w:rsidP="00DB1D87">
            <w:pPr>
              <w:jc w:val="both"/>
              <w:rPr>
                <w:rFonts w:eastAsia="Times New Roman"/>
                <w:sz w:val="22"/>
                <w:szCs w:val="22"/>
              </w:rPr>
            </w:pPr>
            <w:r w:rsidRPr="00A464CF">
              <w:rPr>
                <w:rFonts w:eastAsia="Times New Roman"/>
                <w:sz w:val="22"/>
                <w:szCs w:val="22"/>
              </w:rPr>
              <w:t>Nghiên cứu xây dựng Nghị quyết về chính sách và giải pháp cơ bản thúc đẩy công nghiệp Việt Nam tăng trưởng nhanh và bền vững trong bối cảnh hội nhập trong năm 2017</w:t>
            </w:r>
          </w:p>
        </w:tc>
        <w:tc>
          <w:tcPr>
            <w:tcW w:w="7771" w:type="dxa"/>
            <w:shd w:val="clear" w:color="auto" w:fill="auto"/>
            <w:vAlign w:val="center"/>
            <w:hideMark/>
          </w:tcPr>
          <w:p w14:paraId="2B0A5263" w14:textId="77777777" w:rsidR="00DB1D87" w:rsidRPr="00A464CF" w:rsidRDefault="00DB1D87" w:rsidP="00DB1D87">
            <w:pPr>
              <w:jc w:val="both"/>
              <w:rPr>
                <w:rFonts w:eastAsia="Times New Roman"/>
                <w:sz w:val="22"/>
                <w:szCs w:val="22"/>
              </w:rPr>
            </w:pPr>
            <w:r w:rsidRPr="00A464CF">
              <w:rPr>
                <w:rFonts w:eastAsia="Times New Roman"/>
                <w:sz w:val="22"/>
                <w:szCs w:val="22"/>
              </w:rPr>
              <w:t>Ban Chấp hành Trung ương Đảng đã ban hành Nghị quyết số 23-NQ/TW ngày 22/3/2018 về Định hướng xây dựng chính sách phát triển công nghiệp quốc gia đến năm 2030, tầm nhìn đến năm 2045.</w:t>
            </w:r>
          </w:p>
        </w:tc>
        <w:tc>
          <w:tcPr>
            <w:tcW w:w="1306" w:type="dxa"/>
            <w:shd w:val="clear" w:color="auto" w:fill="auto"/>
            <w:vAlign w:val="center"/>
            <w:hideMark/>
          </w:tcPr>
          <w:p w14:paraId="46077562"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rõ ràng</w:t>
            </w:r>
          </w:p>
        </w:tc>
      </w:tr>
      <w:tr w:rsidR="00A464CF" w:rsidRPr="00A464CF" w14:paraId="27C30440" w14:textId="77777777" w:rsidTr="00AA2D1A">
        <w:trPr>
          <w:trHeight w:val="851"/>
        </w:trPr>
        <w:tc>
          <w:tcPr>
            <w:tcW w:w="708" w:type="dxa"/>
            <w:shd w:val="clear" w:color="auto" w:fill="auto"/>
            <w:noWrap/>
            <w:vAlign w:val="center"/>
            <w:hideMark/>
          </w:tcPr>
          <w:p w14:paraId="5317DE11" w14:textId="77777777" w:rsidR="00DB1D87" w:rsidRPr="00A464CF" w:rsidRDefault="00DB1D87" w:rsidP="00DB1D87">
            <w:pPr>
              <w:jc w:val="center"/>
              <w:rPr>
                <w:rFonts w:eastAsia="Times New Roman"/>
                <w:sz w:val="22"/>
                <w:szCs w:val="22"/>
              </w:rPr>
            </w:pPr>
            <w:r w:rsidRPr="00A464CF">
              <w:rPr>
                <w:rFonts w:eastAsia="Times New Roman"/>
                <w:sz w:val="22"/>
                <w:szCs w:val="22"/>
              </w:rPr>
              <w:t>4</w:t>
            </w:r>
          </w:p>
        </w:tc>
        <w:tc>
          <w:tcPr>
            <w:tcW w:w="5378" w:type="dxa"/>
            <w:shd w:val="clear" w:color="auto" w:fill="auto"/>
            <w:vAlign w:val="center"/>
            <w:hideMark/>
          </w:tcPr>
          <w:p w14:paraId="55AF10A9" w14:textId="77777777" w:rsidR="00DB1D87" w:rsidRPr="00A464CF" w:rsidRDefault="00DB1D87" w:rsidP="00DB1D87">
            <w:pPr>
              <w:jc w:val="both"/>
              <w:rPr>
                <w:rFonts w:eastAsia="Times New Roman"/>
                <w:sz w:val="22"/>
                <w:szCs w:val="22"/>
              </w:rPr>
            </w:pPr>
            <w:r w:rsidRPr="00A464CF">
              <w:rPr>
                <w:rFonts w:eastAsia="Times New Roman"/>
                <w:sz w:val="22"/>
                <w:szCs w:val="22"/>
              </w:rPr>
              <w:t>Rà soát, chỉnh sửa, bổ sung và thực hiện hiệu quả các quy định về khuyến công, nhằm phát triển bền vững công nghiệp, tiểu thủ công nghiệp khu vực nông thôn gắn với bảo vệ môi trường.</w:t>
            </w:r>
          </w:p>
        </w:tc>
        <w:tc>
          <w:tcPr>
            <w:tcW w:w="7771" w:type="dxa"/>
            <w:shd w:val="clear" w:color="auto" w:fill="auto"/>
            <w:vAlign w:val="center"/>
            <w:hideMark/>
          </w:tcPr>
          <w:p w14:paraId="71E8057E" w14:textId="77777777" w:rsidR="00DB1D87" w:rsidRPr="00A464CF" w:rsidRDefault="0068087D" w:rsidP="00DB1D87">
            <w:pPr>
              <w:jc w:val="both"/>
              <w:rPr>
                <w:rFonts w:eastAsia="Times New Roman"/>
                <w:sz w:val="22"/>
                <w:szCs w:val="22"/>
              </w:rPr>
            </w:pPr>
            <w:r w:rsidRPr="00A464CF">
              <w:rPr>
                <w:rFonts w:eastAsia="Times New Roman"/>
                <w:sz w:val="22"/>
                <w:szCs w:val="22"/>
              </w:rPr>
              <w:t xml:space="preserve">- </w:t>
            </w:r>
            <w:r w:rsidR="00DB1D87" w:rsidRPr="00A464CF">
              <w:rPr>
                <w:rFonts w:eastAsia="Times New Roman"/>
                <w:sz w:val="22"/>
                <w:szCs w:val="22"/>
              </w:rPr>
              <w:t>3 Thông tư để tạo thuận lợi cho phát triển bền vững công nghiệp, tiểu thủ công nghiệp nông thôn đã được ban hành hoặc đang trong quá trình dự thảo là: Thông tư số 20/2017/TT-BCT ngày 29/9/2017, Thông tư sửa đổi Thông tư số 36/2013/TT-BCT ngày 27/12/2013, Thông tư sửa đổi, bổ sung Thông tư liên tịch số 26/2014/TTLT-BTC-BCT</w:t>
            </w:r>
          </w:p>
          <w:p w14:paraId="381EFF1C" w14:textId="1DBD0DA0" w:rsidR="0068087D" w:rsidRPr="00A464CF" w:rsidRDefault="0068087D" w:rsidP="00DB1D87">
            <w:pPr>
              <w:jc w:val="both"/>
              <w:rPr>
                <w:rFonts w:eastAsia="Times New Roman"/>
                <w:sz w:val="22"/>
                <w:szCs w:val="22"/>
              </w:rPr>
            </w:pPr>
            <w:r w:rsidRPr="00A464CF">
              <w:rPr>
                <w:rFonts w:eastAsia="Times New Roman"/>
                <w:sz w:val="22"/>
                <w:szCs w:val="22"/>
              </w:rPr>
              <w:t>- Luật Bảo vệ môi trường sửa đổi đã được Quốc hội thông qua ngày 17/11/2020</w:t>
            </w:r>
          </w:p>
        </w:tc>
        <w:tc>
          <w:tcPr>
            <w:tcW w:w="1306" w:type="dxa"/>
            <w:shd w:val="clear" w:color="auto" w:fill="auto"/>
            <w:vAlign w:val="center"/>
            <w:hideMark/>
          </w:tcPr>
          <w:p w14:paraId="182D953D"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00C8FE37" w14:textId="77777777" w:rsidTr="00AA2D1A">
        <w:trPr>
          <w:trHeight w:val="630"/>
        </w:trPr>
        <w:tc>
          <w:tcPr>
            <w:tcW w:w="708" w:type="dxa"/>
            <w:shd w:val="clear" w:color="auto" w:fill="auto"/>
            <w:noWrap/>
            <w:vAlign w:val="center"/>
            <w:hideMark/>
          </w:tcPr>
          <w:p w14:paraId="7F86E2D6" w14:textId="77777777" w:rsidR="00DB1D87" w:rsidRPr="00A464CF" w:rsidRDefault="00DB1D87" w:rsidP="00DB1D87">
            <w:pPr>
              <w:jc w:val="center"/>
              <w:rPr>
                <w:rFonts w:eastAsia="Times New Roman"/>
                <w:b/>
                <w:bCs/>
                <w:sz w:val="22"/>
                <w:szCs w:val="22"/>
              </w:rPr>
            </w:pPr>
            <w:r w:rsidRPr="00A464CF">
              <w:rPr>
                <w:rFonts w:eastAsia="Times New Roman"/>
                <w:b/>
                <w:bCs/>
                <w:sz w:val="22"/>
                <w:szCs w:val="22"/>
              </w:rPr>
              <w:t>XII</w:t>
            </w:r>
          </w:p>
        </w:tc>
        <w:tc>
          <w:tcPr>
            <w:tcW w:w="14455" w:type="dxa"/>
            <w:gridSpan w:val="3"/>
            <w:shd w:val="clear" w:color="auto" w:fill="auto"/>
            <w:vAlign w:val="center"/>
            <w:hideMark/>
          </w:tcPr>
          <w:p w14:paraId="74B938E7" w14:textId="77777777" w:rsidR="00DB1D87" w:rsidRPr="00A464CF" w:rsidRDefault="00DB1D87" w:rsidP="00DB1D87">
            <w:pPr>
              <w:rPr>
                <w:rFonts w:eastAsia="Times New Roman"/>
                <w:b/>
                <w:bCs/>
                <w:sz w:val="22"/>
                <w:szCs w:val="22"/>
              </w:rPr>
            </w:pPr>
            <w:r w:rsidRPr="00A464CF">
              <w:rPr>
                <w:rFonts w:eastAsia="Times New Roman"/>
                <w:b/>
                <w:bCs/>
                <w:sz w:val="22"/>
                <w:szCs w:val="22"/>
              </w:rPr>
              <w:t>Cơ cấu lại và phát triển nhanh các ngành dịch vụ, duy trì tốc độ tăng trưởng các ngành dịch vụ cao hơn tốc độ tăng trưởng GDP</w:t>
            </w:r>
          </w:p>
        </w:tc>
      </w:tr>
      <w:tr w:rsidR="00A464CF" w:rsidRPr="00A464CF" w14:paraId="4E12EE50" w14:textId="77777777" w:rsidTr="00AA2D1A">
        <w:trPr>
          <w:trHeight w:val="1929"/>
        </w:trPr>
        <w:tc>
          <w:tcPr>
            <w:tcW w:w="708" w:type="dxa"/>
            <w:shd w:val="clear" w:color="auto" w:fill="auto"/>
            <w:noWrap/>
            <w:vAlign w:val="center"/>
            <w:hideMark/>
          </w:tcPr>
          <w:p w14:paraId="39CD470B" w14:textId="77777777" w:rsidR="00DB1D87" w:rsidRPr="00A464CF" w:rsidRDefault="00DB1D87" w:rsidP="00DB1D87">
            <w:pPr>
              <w:jc w:val="center"/>
              <w:rPr>
                <w:rFonts w:eastAsia="Times New Roman"/>
                <w:sz w:val="22"/>
                <w:szCs w:val="22"/>
              </w:rPr>
            </w:pPr>
            <w:r w:rsidRPr="00A464CF">
              <w:rPr>
                <w:rFonts w:eastAsia="Times New Roman"/>
                <w:sz w:val="22"/>
                <w:szCs w:val="22"/>
              </w:rPr>
              <w:t>1</w:t>
            </w:r>
          </w:p>
        </w:tc>
        <w:tc>
          <w:tcPr>
            <w:tcW w:w="5378" w:type="dxa"/>
            <w:shd w:val="clear" w:color="auto" w:fill="auto"/>
            <w:vAlign w:val="center"/>
            <w:hideMark/>
          </w:tcPr>
          <w:p w14:paraId="132B3A48" w14:textId="77777777" w:rsidR="00DB1D87" w:rsidRPr="00A464CF" w:rsidRDefault="00DB1D87" w:rsidP="00DB1D87">
            <w:pPr>
              <w:jc w:val="both"/>
              <w:rPr>
                <w:rFonts w:eastAsia="Times New Roman"/>
                <w:sz w:val="22"/>
                <w:szCs w:val="22"/>
              </w:rPr>
            </w:pPr>
            <w:r w:rsidRPr="00A464CF">
              <w:rPr>
                <w:rFonts w:eastAsia="Times New Roman"/>
                <w:sz w:val="22"/>
                <w:szCs w:val="22"/>
              </w:rPr>
              <w:t>Ban hành chính sách phát triển một số ngành dịch vụ tiềm năng, có hàm lượng tri thức và công nghệ cao như tài chính, ngân hàng, hàng hải, logistics, dịch vụ kỹ thuật dầu khí, hàng không, dịch vụ thương mại; dịch vụ giáo dục, đào tạo; dịch vụ y tế, chăm sóc sức khỏe; các loại dịch vụ kiểm toán, tư vấn, pháp lý...</w:t>
            </w:r>
          </w:p>
        </w:tc>
        <w:tc>
          <w:tcPr>
            <w:tcW w:w="7771" w:type="dxa"/>
            <w:shd w:val="clear" w:color="auto" w:fill="auto"/>
            <w:vAlign w:val="center"/>
            <w:hideMark/>
          </w:tcPr>
          <w:p w14:paraId="7C678D75" w14:textId="77777777" w:rsidR="00DB1D87" w:rsidRPr="00A464CF" w:rsidRDefault="00DB1D87" w:rsidP="00DB1D87">
            <w:pPr>
              <w:jc w:val="both"/>
              <w:rPr>
                <w:rFonts w:eastAsia="Times New Roman"/>
                <w:sz w:val="22"/>
                <w:szCs w:val="22"/>
              </w:rPr>
            </w:pPr>
            <w:r w:rsidRPr="00A464CF">
              <w:rPr>
                <w:rFonts w:eastAsia="Times New Roman"/>
                <w:sz w:val="22"/>
                <w:szCs w:val="22"/>
              </w:rPr>
              <w:t>Đề án Kế hoạch cơ cấu lại ngành dịch vụ giai đoạn 2016-2020 đã được xây dựng, vẫn đang trong quá trình chỉnh sửa. Bộ Kế hoạch và Đầu tư đang xây dựng chiến lược phát triển ngành dịch vụ giai đoạn 2021-2030. Các Bộ, ngành đã ban hành chính sách phát triển một số ngành dịch vụ tiềm năng, có hàm lượng tri thức cao như dịch vụ thanh toán điện tử và các dịch vụ ngân hàng điện tử, dịch vụ y tế, dịch vụ giáo dục và đào tạo chất lượng cao, dịch vụ môi giới bảo hiểm, môi giới chứng khoán, kế toán. Tuy nhiên, hiện nay vẫn chưa có chính sách phát triển một số ngành dịch vụ tiềm năng khác như dịch vụ thương mại.</w:t>
            </w:r>
          </w:p>
        </w:tc>
        <w:tc>
          <w:tcPr>
            <w:tcW w:w="1306" w:type="dxa"/>
            <w:shd w:val="clear" w:color="auto" w:fill="auto"/>
            <w:vAlign w:val="center"/>
            <w:hideMark/>
          </w:tcPr>
          <w:p w14:paraId="2BAAAF47"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0E675F93" w14:textId="77777777" w:rsidTr="00AA2D1A">
        <w:trPr>
          <w:trHeight w:val="1335"/>
        </w:trPr>
        <w:tc>
          <w:tcPr>
            <w:tcW w:w="708" w:type="dxa"/>
            <w:shd w:val="clear" w:color="auto" w:fill="auto"/>
            <w:noWrap/>
            <w:vAlign w:val="center"/>
            <w:hideMark/>
          </w:tcPr>
          <w:p w14:paraId="474D63C1" w14:textId="77777777" w:rsidR="00DB1D87" w:rsidRPr="00A464CF" w:rsidRDefault="00DB1D87" w:rsidP="00DB1D87">
            <w:pPr>
              <w:jc w:val="center"/>
              <w:rPr>
                <w:rFonts w:eastAsia="Times New Roman"/>
                <w:sz w:val="22"/>
                <w:szCs w:val="22"/>
              </w:rPr>
            </w:pPr>
            <w:r w:rsidRPr="00A464CF">
              <w:rPr>
                <w:rFonts w:eastAsia="Times New Roman"/>
                <w:sz w:val="22"/>
                <w:szCs w:val="22"/>
              </w:rPr>
              <w:lastRenderedPageBreak/>
              <w:t>2</w:t>
            </w:r>
          </w:p>
        </w:tc>
        <w:tc>
          <w:tcPr>
            <w:tcW w:w="5378" w:type="dxa"/>
            <w:shd w:val="clear" w:color="auto" w:fill="auto"/>
            <w:vAlign w:val="center"/>
            <w:hideMark/>
          </w:tcPr>
          <w:p w14:paraId="7EF8C424" w14:textId="77777777" w:rsidR="00DB1D87" w:rsidRPr="00A464CF" w:rsidRDefault="00DB1D87" w:rsidP="00DB1D87">
            <w:pPr>
              <w:jc w:val="both"/>
              <w:rPr>
                <w:rFonts w:eastAsia="Times New Roman"/>
                <w:sz w:val="22"/>
                <w:szCs w:val="22"/>
              </w:rPr>
            </w:pPr>
            <w:r w:rsidRPr="00A464CF">
              <w:rPr>
                <w:rFonts w:eastAsia="Times New Roman"/>
                <w:sz w:val="22"/>
                <w:szCs w:val="22"/>
              </w:rPr>
              <w:t>Xây dựng Đề án phát triển hạ tầng và dịch vụ logistics nhằm nâng cao năng lực cạnh tranh quốc gia và thúc đẩy chuyển dịch cơ cấu kinh tế</w:t>
            </w:r>
          </w:p>
        </w:tc>
        <w:tc>
          <w:tcPr>
            <w:tcW w:w="7771" w:type="dxa"/>
            <w:shd w:val="clear" w:color="auto" w:fill="auto"/>
            <w:vAlign w:val="center"/>
            <w:hideMark/>
          </w:tcPr>
          <w:p w14:paraId="2889A1E6" w14:textId="77777777" w:rsidR="00DB1D87" w:rsidRPr="00A464CF" w:rsidRDefault="00DB1D87" w:rsidP="00DB1D87">
            <w:pPr>
              <w:jc w:val="both"/>
              <w:rPr>
                <w:rFonts w:eastAsia="Times New Roman"/>
                <w:sz w:val="22"/>
                <w:szCs w:val="22"/>
              </w:rPr>
            </w:pPr>
            <w:r w:rsidRPr="00A464CF">
              <w:rPr>
                <w:rFonts w:eastAsia="Times New Roman"/>
                <w:sz w:val="22"/>
                <w:szCs w:val="22"/>
              </w:rPr>
              <w:t xml:space="preserve"> Thủ tướng Chính phủ đã ban hành Quyết định số 200/QĐ-TTg ngày 14/2/2017 về Kế hoạch hành động và nâng cao năng lực cạnh tranh và phát triển dịch vụ logistics. Cùng với đó, </w:t>
            </w:r>
            <w:bookmarkStart w:id="2" w:name="loai_1_name"/>
            <w:r w:rsidRPr="00A464CF">
              <w:rPr>
                <w:sz w:val="22"/>
                <w:szCs w:val="22"/>
                <w:lang w:val="vi-VN"/>
              </w:rPr>
              <w:t>Phê duyệt đề án “xây dựng thị trường vận tải cạnh tranh theo hướng phát triển vận tải đa phương thức, kết nối giữa các hình thức vận tải khác nhau, chú trọng áp dụng công nghệ thông tin để giảm thiểu chi phí vận tải tạo thuận lợi cho lưu thông, phân phối hàng hóa và dịch vụ của doanh nghiệp”</w:t>
            </w:r>
            <w:bookmarkEnd w:id="2"/>
          </w:p>
        </w:tc>
        <w:tc>
          <w:tcPr>
            <w:tcW w:w="1306" w:type="dxa"/>
            <w:shd w:val="clear" w:color="auto" w:fill="auto"/>
            <w:vAlign w:val="center"/>
            <w:hideMark/>
          </w:tcPr>
          <w:p w14:paraId="4314C21B"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7DBB26ED" w14:textId="77777777" w:rsidTr="00AA2D1A">
        <w:trPr>
          <w:trHeight w:val="275"/>
        </w:trPr>
        <w:tc>
          <w:tcPr>
            <w:tcW w:w="708" w:type="dxa"/>
            <w:shd w:val="clear" w:color="auto" w:fill="auto"/>
            <w:noWrap/>
            <w:vAlign w:val="center"/>
            <w:hideMark/>
          </w:tcPr>
          <w:p w14:paraId="2ECA551B" w14:textId="77777777" w:rsidR="00DB1D87" w:rsidRPr="00A464CF" w:rsidRDefault="00DB1D87" w:rsidP="00DB1D87">
            <w:pPr>
              <w:jc w:val="center"/>
              <w:rPr>
                <w:rFonts w:eastAsia="Times New Roman"/>
                <w:sz w:val="22"/>
                <w:szCs w:val="22"/>
              </w:rPr>
            </w:pPr>
            <w:r w:rsidRPr="00A464CF">
              <w:rPr>
                <w:rFonts w:eastAsia="Times New Roman"/>
                <w:sz w:val="22"/>
                <w:szCs w:val="22"/>
              </w:rPr>
              <w:t>3</w:t>
            </w:r>
          </w:p>
        </w:tc>
        <w:tc>
          <w:tcPr>
            <w:tcW w:w="5378" w:type="dxa"/>
            <w:shd w:val="clear" w:color="auto" w:fill="auto"/>
            <w:vAlign w:val="center"/>
            <w:hideMark/>
          </w:tcPr>
          <w:p w14:paraId="232FCA52" w14:textId="77777777" w:rsidR="00DB1D87" w:rsidRPr="00A464CF" w:rsidRDefault="00DB1D87" w:rsidP="00DB1D87">
            <w:pPr>
              <w:jc w:val="both"/>
              <w:rPr>
                <w:rFonts w:eastAsia="Times New Roman"/>
                <w:sz w:val="22"/>
                <w:szCs w:val="22"/>
              </w:rPr>
            </w:pPr>
            <w:r w:rsidRPr="00A464CF">
              <w:rPr>
                <w:rFonts w:eastAsia="Times New Roman"/>
                <w:sz w:val="22"/>
                <w:szCs w:val="22"/>
              </w:rPr>
              <w:t>Nghiên cứu sửa đổi, bổ sung, bãi bỏ các quy định hiện hành về chính sách cấp phép xuất nhập khẩu, quản lý thị trường theo hướng tạo thuận lợi, giảm chi phí cho doanh nghiệp và phù hợp với các cam kết quốc tế mà Việt Nam là thành viên.</w:t>
            </w:r>
          </w:p>
        </w:tc>
        <w:tc>
          <w:tcPr>
            <w:tcW w:w="7771" w:type="dxa"/>
            <w:shd w:val="clear" w:color="auto" w:fill="auto"/>
            <w:vAlign w:val="center"/>
            <w:hideMark/>
          </w:tcPr>
          <w:p w14:paraId="7B7179A3" w14:textId="77777777" w:rsidR="00DB1D87" w:rsidRPr="00A464CF" w:rsidRDefault="00DB1D87" w:rsidP="00DB1D87">
            <w:pPr>
              <w:jc w:val="both"/>
              <w:rPr>
                <w:rFonts w:eastAsia="Times New Roman"/>
                <w:sz w:val="22"/>
                <w:szCs w:val="22"/>
              </w:rPr>
            </w:pPr>
            <w:r w:rsidRPr="00A464CF">
              <w:rPr>
                <w:rFonts w:eastAsia="Times New Roman"/>
                <w:sz w:val="22"/>
                <w:szCs w:val="22"/>
              </w:rPr>
              <w:t>Trong năm 2017, Bộ Công Thương đã bãi bỏ và đơn giản hóa nhiều thủ tục hành chính theo Phương án đơn giản hóa thủ tục hành chính đã được phê duyệt. Việc bãi bỏ được thực hiện theo 4 tiêu chí: đơn giản, minh bạch, hiện đại và chuẩn hóa. Liên quan đến quản lý xuất nhập khẩu, nhiều Thông tư của Bộ đã được rà soát, bãi bỏ như Thông tư về kiểm tra formaldehyt, sửa đổi Thông tư về nhập khẩu xe ô tô. Tuy nhiên, nhiều quy định về quản lý xuất nhập khẩu vẫn gây khó khăn và làm tăng chi phí cho doanh nghiệp như các quy định về xuất khẩu gạo, quy định về lấy mẫu để cấp Giấy chứng nhận thực phẩm xuất khẩu, quy định về kiểm dịch động vật đối với hàng nhập khẩu để chế biến xuất khẩu</w:t>
            </w:r>
          </w:p>
        </w:tc>
        <w:tc>
          <w:tcPr>
            <w:tcW w:w="1306" w:type="dxa"/>
            <w:shd w:val="clear" w:color="auto" w:fill="auto"/>
            <w:vAlign w:val="center"/>
            <w:hideMark/>
          </w:tcPr>
          <w:p w14:paraId="4B5457DA"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4995E536" w14:textId="77777777" w:rsidTr="00AA2D1A">
        <w:trPr>
          <w:trHeight w:val="869"/>
        </w:trPr>
        <w:tc>
          <w:tcPr>
            <w:tcW w:w="708" w:type="dxa"/>
            <w:shd w:val="clear" w:color="auto" w:fill="auto"/>
            <w:noWrap/>
            <w:vAlign w:val="center"/>
            <w:hideMark/>
          </w:tcPr>
          <w:p w14:paraId="0FD13F0C" w14:textId="77777777" w:rsidR="0068087D" w:rsidRPr="00A464CF" w:rsidRDefault="0068087D" w:rsidP="0068087D">
            <w:pPr>
              <w:jc w:val="center"/>
              <w:rPr>
                <w:rFonts w:eastAsia="Times New Roman"/>
                <w:sz w:val="22"/>
                <w:szCs w:val="22"/>
              </w:rPr>
            </w:pPr>
            <w:r w:rsidRPr="00A464CF">
              <w:rPr>
                <w:rFonts w:eastAsia="Times New Roman"/>
                <w:sz w:val="22"/>
                <w:szCs w:val="22"/>
              </w:rPr>
              <w:t>4</w:t>
            </w:r>
          </w:p>
        </w:tc>
        <w:tc>
          <w:tcPr>
            <w:tcW w:w="5378" w:type="dxa"/>
            <w:shd w:val="clear" w:color="auto" w:fill="auto"/>
            <w:vAlign w:val="center"/>
            <w:hideMark/>
          </w:tcPr>
          <w:p w14:paraId="696C6707" w14:textId="77777777" w:rsidR="0068087D" w:rsidRPr="00A464CF" w:rsidRDefault="0068087D" w:rsidP="0068087D">
            <w:pPr>
              <w:jc w:val="both"/>
              <w:rPr>
                <w:rFonts w:eastAsia="Times New Roman"/>
                <w:sz w:val="22"/>
                <w:szCs w:val="22"/>
              </w:rPr>
            </w:pPr>
            <w:r w:rsidRPr="00A464CF">
              <w:rPr>
                <w:rFonts w:eastAsia="Times New Roman"/>
                <w:sz w:val="22"/>
                <w:szCs w:val="22"/>
              </w:rPr>
              <w:t>Xây dựng trong năm 2017 Chiến lược phát triển thương mại trong nước giai đoạn đến năm 2025, tầm nhìn đến năm 2035; trong đó, chú trọng phát triển hệ thống bán lẻ, tổ chức lại thị trường trong nước và thị trường biên mậu, thúc đẩy sản xuất và khuyến khích tiêu dùng hàng Việt Nam...</w:t>
            </w:r>
          </w:p>
        </w:tc>
        <w:tc>
          <w:tcPr>
            <w:tcW w:w="7771" w:type="dxa"/>
            <w:shd w:val="clear" w:color="auto" w:fill="auto"/>
            <w:vAlign w:val="center"/>
            <w:hideMark/>
          </w:tcPr>
          <w:p w14:paraId="7EB9762B" w14:textId="4024CC5C" w:rsidR="0068087D" w:rsidRPr="00A464CF" w:rsidRDefault="0068087D" w:rsidP="0068087D">
            <w:pPr>
              <w:jc w:val="both"/>
              <w:rPr>
                <w:rFonts w:eastAsia="Times New Roman"/>
                <w:sz w:val="22"/>
                <w:szCs w:val="22"/>
              </w:rPr>
            </w:pPr>
            <w:r w:rsidRPr="00A464CF">
              <w:rPr>
                <w:bCs/>
                <w:sz w:val="22"/>
                <w:lang w:val="vi-VN"/>
              </w:rPr>
              <w:t>Đã trình Thủ tướng Chính phủ tại Tờ trình số 9122/TTr-BCT ngày 29/9/2017.</w:t>
            </w:r>
            <w:r w:rsidRPr="00A464CF">
              <w:rPr>
                <w:bCs/>
                <w:sz w:val="22"/>
              </w:rPr>
              <w:t xml:space="preserve"> </w:t>
            </w:r>
            <w:r w:rsidRPr="00A464CF">
              <w:rPr>
                <w:bCs/>
                <w:sz w:val="22"/>
                <w:lang w:val="vi-VN"/>
              </w:rPr>
              <w:t>Tuy nhiên, do có nhiều thay đổi về bối cảnh thực hiện Chiến lược và chỉ đạo của Chính phủ về điều chỉnh, bổ sung một số nội dung. Ngày 13/9/2019, Chính phủ đã ban hành Nghị quyết số 69/NQ-CP về Phiên họp Chính phủ thường kỳ tháng 8/2019, theo đó Chính phủ thống nhất điều chỉnh “Chiến lược phát triển thương mại trong nước giai đoạn đến năm 2025, tầm nhìn đến năm 2035” thành “Chiến lược phát triển thương mại trong nước giai đoạn đến năm 2030, tầm nhìn đến năm 2045”, giao Bộ Công Thương khẩn trương hoàn thiện Dự thảo Chiến lược, trình Thủ tướng Chính phủ phê duyệt trong quý IV năm 2020.  Hiện nay, Bộ Công Thương đang khẩn trương triển khai hoàn thiện Dự thảo theo chỉ đạo của Chính phủ.</w:t>
            </w:r>
          </w:p>
        </w:tc>
        <w:tc>
          <w:tcPr>
            <w:tcW w:w="1306" w:type="dxa"/>
            <w:shd w:val="clear" w:color="auto" w:fill="auto"/>
            <w:vAlign w:val="center"/>
            <w:hideMark/>
          </w:tcPr>
          <w:p w14:paraId="2BF74EC7" w14:textId="77777777" w:rsidR="0068087D" w:rsidRPr="00A464CF" w:rsidRDefault="0068087D" w:rsidP="0068087D">
            <w:pPr>
              <w:rPr>
                <w:rFonts w:eastAsia="Times New Roman"/>
                <w:sz w:val="22"/>
                <w:szCs w:val="22"/>
              </w:rPr>
            </w:pPr>
            <w:r w:rsidRPr="00A464CF">
              <w:rPr>
                <w:rFonts w:eastAsia="Times New Roman"/>
                <w:sz w:val="22"/>
                <w:szCs w:val="22"/>
              </w:rPr>
              <w:t>Đã triển khai nhưng chậm so với kế hoạch</w:t>
            </w:r>
          </w:p>
        </w:tc>
      </w:tr>
      <w:tr w:rsidR="00A464CF" w:rsidRPr="00A464CF" w14:paraId="11B80499" w14:textId="77777777" w:rsidTr="00AA2D1A">
        <w:trPr>
          <w:trHeight w:val="594"/>
        </w:trPr>
        <w:tc>
          <w:tcPr>
            <w:tcW w:w="708" w:type="dxa"/>
            <w:shd w:val="clear" w:color="auto" w:fill="auto"/>
            <w:noWrap/>
            <w:vAlign w:val="center"/>
            <w:hideMark/>
          </w:tcPr>
          <w:p w14:paraId="168715F2" w14:textId="77777777" w:rsidR="00DB1D87" w:rsidRPr="00A464CF" w:rsidRDefault="00DB1D87" w:rsidP="00DB1D87">
            <w:pPr>
              <w:jc w:val="center"/>
              <w:rPr>
                <w:rFonts w:eastAsia="Times New Roman"/>
                <w:sz w:val="22"/>
                <w:szCs w:val="22"/>
              </w:rPr>
            </w:pPr>
            <w:r w:rsidRPr="00A464CF">
              <w:rPr>
                <w:rFonts w:eastAsia="Times New Roman"/>
                <w:sz w:val="22"/>
                <w:szCs w:val="22"/>
              </w:rPr>
              <w:t>5</w:t>
            </w:r>
          </w:p>
        </w:tc>
        <w:tc>
          <w:tcPr>
            <w:tcW w:w="5378" w:type="dxa"/>
            <w:shd w:val="clear" w:color="auto" w:fill="auto"/>
            <w:vAlign w:val="center"/>
            <w:hideMark/>
          </w:tcPr>
          <w:p w14:paraId="5761A9C6" w14:textId="77777777" w:rsidR="00DB1D87" w:rsidRPr="00A464CF" w:rsidRDefault="00DB1D87" w:rsidP="00DB1D87">
            <w:pPr>
              <w:jc w:val="both"/>
              <w:rPr>
                <w:rFonts w:eastAsia="Times New Roman"/>
                <w:sz w:val="22"/>
                <w:szCs w:val="22"/>
              </w:rPr>
            </w:pPr>
            <w:r w:rsidRPr="00A464CF">
              <w:rPr>
                <w:rFonts w:eastAsia="Times New Roman"/>
                <w:sz w:val="22"/>
                <w:szCs w:val="22"/>
              </w:rPr>
              <w:t>Thúc đẩy thực thi hiệu quả các cam kết của Việt Nam trong WTO, Cộng đồng Kinh tế ASEAN và các FTA đã ký nhằm đẩy mạnh đa dạng hóa, đa phương hóa thị trường xuất khẩu, nhập khẩu.</w:t>
            </w:r>
          </w:p>
        </w:tc>
        <w:tc>
          <w:tcPr>
            <w:tcW w:w="7771" w:type="dxa"/>
            <w:shd w:val="clear" w:color="auto" w:fill="auto"/>
            <w:vAlign w:val="center"/>
            <w:hideMark/>
          </w:tcPr>
          <w:p w14:paraId="58BAE7FF" w14:textId="77777777" w:rsidR="00DB1D87" w:rsidRPr="00A464CF" w:rsidRDefault="00DB1D87" w:rsidP="00DB1D87">
            <w:pPr>
              <w:jc w:val="both"/>
              <w:rPr>
                <w:rFonts w:eastAsia="Times New Roman"/>
                <w:sz w:val="22"/>
                <w:szCs w:val="22"/>
              </w:rPr>
            </w:pPr>
            <w:r w:rsidRPr="00A464CF">
              <w:rPr>
                <w:rFonts w:eastAsia="Times New Roman"/>
                <w:sz w:val="22"/>
                <w:szCs w:val="22"/>
              </w:rPr>
              <w:t>Bộ Công Thương đã phối hợp với nhiều Bộ, cơ quan liên quan để đẩy mạnh đa dạng hóa, đa phương hóa thị trường xuất khẩu, nhập khẩu như: phối hợp với Bộ Nông nghiệp và Phát triển nông thôn để thúc đẩy đối tác mở cửa thị trường cho các mặt hàng nông nghiệp xuất khẩu của Việt Nam; phối hợp với các Bộ, ngành xây dựng các báo cáo phát triển thị trường với một số thị trường trọng điểm, báo cáo chuyên đề theo ngành hàng; cập nhật thông tin chính sách nhập khẩu, tình hình thị trường,… để tuyên truyền, phổ biến cho doanh nghiệp</w:t>
            </w:r>
          </w:p>
        </w:tc>
        <w:tc>
          <w:tcPr>
            <w:tcW w:w="1306" w:type="dxa"/>
            <w:shd w:val="clear" w:color="auto" w:fill="auto"/>
            <w:vAlign w:val="center"/>
            <w:hideMark/>
          </w:tcPr>
          <w:p w14:paraId="1562FE07"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6930E418" w14:textId="77777777" w:rsidTr="00AA2D1A">
        <w:trPr>
          <w:trHeight w:val="630"/>
        </w:trPr>
        <w:tc>
          <w:tcPr>
            <w:tcW w:w="708" w:type="dxa"/>
            <w:shd w:val="clear" w:color="auto" w:fill="auto"/>
            <w:noWrap/>
            <w:vAlign w:val="center"/>
            <w:hideMark/>
          </w:tcPr>
          <w:p w14:paraId="5B9521F2" w14:textId="77777777" w:rsidR="00DB1D87" w:rsidRPr="00A464CF" w:rsidRDefault="00DB1D87" w:rsidP="00DB1D87">
            <w:pPr>
              <w:jc w:val="center"/>
              <w:rPr>
                <w:rFonts w:eastAsia="Times New Roman"/>
                <w:sz w:val="22"/>
                <w:szCs w:val="22"/>
              </w:rPr>
            </w:pPr>
            <w:r w:rsidRPr="00A464CF">
              <w:rPr>
                <w:rFonts w:eastAsia="Times New Roman"/>
                <w:sz w:val="22"/>
                <w:szCs w:val="22"/>
              </w:rPr>
              <w:t>6</w:t>
            </w:r>
          </w:p>
        </w:tc>
        <w:tc>
          <w:tcPr>
            <w:tcW w:w="5378" w:type="dxa"/>
            <w:shd w:val="clear" w:color="auto" w:fill="auto"/>
            <w:vAlign w:val="center"/>
            <w:hideMark/>
          </w:tcPr>
          <w:p w14:paraId="03441BE2" w14:textId="77777777" w:rsidR="00DB1D87" w:rsidRPr="00A464CF" w:rsidRDefault="00DB1D87" w:rsidP="00DB1D87">
            <w:pPr>
              <w:jc w:val="both"/>
              <w:rPr>
                <w:rFonts w:eastAsia="Times New Roman"/>
                <w:sz w:val="22"/>
                <w:szCs w:val="22"/>
              </w:rPr>
            </w:pPr>
            <w:r w:rsidRPr="00A464CF">
              <w:rPr>
                <w:rFonts w:eastAsia="Times New Roman"/>
                <w:sz w:val="22"/>
                <w:szCs w:val="22"/>
              </w:rPr>
              <w:t xml:space="preserve">Mở rộng và làm sâu sắc hơn quan hệ với các nước và các đối tác, đặc biệt là các đối tác chiến lược, đối tác toàn diện, đối tác tiềm năng và bạn bè truyền thống nhằm tranh thủ </w:t>
            </w:r>
            <w:r w:rsidRPr="00A464CF">
              <w:rPr>
                <w:rFonts w:eastAsia="Times New Roman"/>
                <w:sz w:val="22"/>
                <w:szCs w:val="22"/>
              </w:rPr>
              <w:lastRenderedPageBreak/>
              <w:t>mở rộng thị trường, thu hút đầu tư và công nghệ phục vụ cơ cấu lại nền kinh tế</w:t>
            </w:r>
          </w:p>
        </w:tc>
        <w:tc>
          <w:tcPr>
            <w:tcW w:w="7771" w:type="dxa"/>
            <w:shd w:val="clear" w:color="auto" w:fill="auto"/>
            <w:vAlign w:val="center"/>
            <w:hideMark/>
          </w:tcPr>
          <w:p w14:paraId="66EE4DD8" w14:textId="3C2DDA53" w:rsidR="00DB1D87" w:rsidRPr="00A464CF" w:rsidRDefault="00DB1D87" w:rsidP="0068087D">
            <w:pPr>
              <w:jc w:val="both"/>
              <w:rPr>
                <w:rFonts w:eastAsia="Times New Roman"/>
                <w:sz w:val="22"/>
                <w:szCs w:val="22"/>
              </w:rPr>
            </w:pPr>
            <w:r w:rsidRPr="00A464CF">
              <w:rPr>
                <w:rFonts w:eastAsia="Times New Roman"/>
                <w:sz w:val="22"/>
                <w:szCs w:val="22"/>
              </w:rPr>
              <w:lastRenderedPageBreak/>
              <w:t xml:space="preserve">Quan hệ hợp tác song phương truyền thống và với các đối tác tiềm năng được thúc đẩy. Các diễn đàn hợp tác kinh tế đa phương cũng được thúc đẩy như tham gia tích cực vào các hoạt động của ASEAN, đảm nhận tốt vai trò thành viên Hội đồng Kinh tế- </w:t>
            </w:r>
            <w:r w:rsidRPr="00A464CF">
              <w:rPr>
                <w:rFonts w:eastAsia="Times New Roman"/>
                <w:sz w:val="22"/>
                <w:szCs w:val="22"/>
              </w:rPr>
              <w:lastRenderedPageBreak/>
              <w:t xml:space="preserve">Xã hội Liên Hợp Quốc, Chủ tịch Đại hội đồng Tổ chức Sở hữu trí tuệ thế giới (WIPO),… </w:t>
            </w:r>
          </w:p>
        </w:tc>
        <w:tc>
          <w:tcPr>
            <w:tcW w:w="1306" w:type="dxa"/>
            <w:shd w:val="clear" w:color="auto" w:fill="auto"/>
            <w:vAlign w:val="center"/>
            <w:hideMark/>
          </w:tcPr>
          <w:p w14:paraId="5F2D3FC5" w14:textId="77777777" w:rsidR="00DB1D87" w:rsidRPr="00A464CF" w:rsidRDefault="00DB1D87" w:rsidP="00DB1D87">
            <w:pPr>
              <w:rPr>
                <w:rFonts w:eastAsia="Times New Roman"/>
                <w:sz w:val="22"/>
                <w:szCs w:val="22"/>
              </w:rPr>
            </w:pPr>
            <w:r w:rsidRPr="00A464CF">
              <w:rPr>
                <w:rFonts w:eastAsia="Times New Roman"/>
                <w:sz w:val="22"/>
                <w:szCs w:val="22"/>
              </w:rPr>
              <w:lastRenderedPageBreak/>
              <w:t>Đã triển khai và có kết quả rõ ràng</w:t>
            </w:r>
          </w:p>
          <w:p w14:paraId="65F4536A" w14:textId="77777777" w:rsidR="00DB1D87" w:rsidRPr="00A464CF" w:rsidRDefault="00DB1D87" w:rsidP="00DB1D87">
            <w:pPr>
              <w:rPr>
                <w:rFonts w:eastAsia="Times New Roman"/>
                <w:sz w:val="22"/>
                <w:szCs w:val="22"/>
              </w:rPr>
            </w:pPr>
          </w:p>
        </w:tc>
      </w:tr>
      <w:tr w:rsidR="00A464CF" w:rsidRPr="00A464CF" w14:paraId="025E0D7C" w14:textId="77777777" w:rsidTr="00AA2D1A">
        <w:trPr>
          <w:trHeight w:val="2118"/>
        </w:trPr>
        <w:tc>
          <w:tcPr>
            <w:tcW w:w="708" w:type="dxa"/>
            <w:shd w:val="clear" w:color="auto" w:fill="auto"/>
            <w:noWrap/>
            <w:vAlign w:val="center"/>
            <w:hideMark/>
          </w:tcPr>
          <w:p w14:paraId="13AB5DB7" w14:textId="77777777" w:rsidR="00DB1D87" w:rsidRPr="00A464CF" w:rsidRDefault="00DB1D87" w:rsidP="00DB1D87">
            <w:pPr>
              <w:jc w:val="center"/>
              <w:rPr>
                <w:rFonts w:eastAsia="Times New Roman"/>
                <w:sz w:val="22"/>
                <w:szCs w:val="22"/>
              </w:rPr>
            </w:pPr>
            <w:r w:rsidRPr="00A464CF">
              <w:rPr>
                <w:rFonts w:eastAsia="Times New Roman"/>
                <w:sz w:val="22"/>
                <w:szCs w:val="22"/>
              </w:rPr>
              <w:lastRenderedPageBreak/>
              <w:t>7</w:t>
            </w:r>
          </w:p>
        </w:tc>
        <w:tc>
          <w:tcPr>
            <w:tcW w:w="5378" w:type="dxa"/>
            <w:shd w:val="clear" w:color="auto" w:fill="auto"/>
            <w:vAlign w:val="center"/>
            <w:hideMark/>
          </w:tcPr>
          <w:p w14:paraId="3036E5A9" w14:textId="77777777" w:rsidR="00DB1D87" w:rsidRPr="00A464CF" w:rsidRDefault="00DB1D87" w:rsidP="00DB1D87">
            <w:pPr>
              <w:rPr>
                <w:rFonts w:eastAsia="Times New Roman"/>
                <w:sz w:val="22"/>
                <w:szCs w:val="22"/>
              </w:rPr>
            </w:pPr>
            <w:r w:rsidRPr="00A464CF">
              <w:rPr>
                <w:rFonts w:eastAsia="Times New Roman"/>
                <w:sz w:val="22"/>
                <w:szCs w:val="22"/>
              </w:rPr>
              <w:t>Các cơ quan đại diện Việt Nam ở nước ngoài đẩy mạnh và nâng cao hiệu quả xúc tiến kinh tế đối ngoại</w:t>
            </w:r>
          </w:p>
        </w:tc>
        <w:tc>
          <w:tcPr>
            <w:tcW w:w="7771" w:type="dxa"/>
            <w:shd w:val="clear" w:color="auto" w:fill="auto"/>
            <w:vAlign w:val="center"/>
            <w:hideMark/>
          </w:tcPr>
          <w:p w14:paraId="4515565E" w14:textId="75444445" w:rsidR="00DB1D87" w:rsidRPr="00A464CF" w:rsidRDefault="00DB1D87" w:rsidP="0068087D">
            <w:pPr>
              <w:jc w:val="both"/>
              <w:rPr>
                <w:rFonts w:eastAsia="Times New Roman"/>
                <w:sz w:val="22"/>
                <w:szCs w:val="22"/>
              </w:rPr>
            </w:pPr>
            <w:r w:rsidRPr="00A464CF">
              <w:rPr>
                <w:rFonts w:eastAsia="Times New Roman"/>
                <w:sz w:val="22"/>
                <w:szCs w:val="22"/>
              </w:rPr>
              <w:t xml:space="preserve">Tiếp tục đẩy mạnh thực hiện Đề án triển khai công tác ngoại giao kinh tế đến năm 2020 nhằm nâng cao hơn nữa hiệu quả công tác ngoại giao kinh tế, tranh thủ tối đa các nguồn lực bên ngoài; đẩy mạnh vận động chính trị, ngoại giao thúc đẩy việc triển khai và đàm phán các FTA, đảm bảo lợi ích của Việt Nam, tích cực triển khai Cộng đồng ASEAN, Hiệp định Đối tác và Hợp tác Việt Nam- EU, FTA Việt Nam- Liên minh kinh tế Á Âu, thúc đẩy ra tuyên bố chung về CPTPP, tham gia đàm phán RCEP. Tiếp tục chỉ đạo các cơ quan đại diện Việt Nam ở nước ngoài, các Hội đoàn người Việt Nam ở nước ngoài thực hiện cuộc vận động “Người Việt Nam dùng hàng Việt Nam”. </w:t>
            </w:r>
          </w:p>
        </w:tc>
        <w:tc>
          <w:tcPr>
            <w:tcW w:w="1306" w:type="dxa"/>
            <w:shd w:val="clear" w:color="auto" w:fill="auto"/>
            <w:vAlign w:val="center"/>
            <w:hideMark/>
          </w:tcPr>
          <w:p w14:paraId="5E9F230C"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rõ ràng</w:t>
            </w:r>
          </w:p>
          <w:p w14:paraId="1A106777" w14:textId="77777777" w:rsidR="00DB1D87" w:rsidRPr="00A464CF" w:rsidRDefault="00DB1D87" w:rsidP="00DB1D87">
            <w:pPr>
              <w:rPr>
                <w:rFonts w:eastAsia="Times New Roman"/>
                <w:sz w:val="22"/>
                <w:szCs w:val="22"/>
              </w:rPr>
            </w:pPr>
          </w:p>
        </w:tc>
      </w:tr>
      <w:tr w:rsidR="00A464CF" w:rsidRPr="00A464CF" w14:paraId="6E72484D" w14:textId="77777777" w:rsidTr="00AA2D1A">
        <w:trPr>
          <w:trHeight w:val="1126"/>
        </w:trPr>
        <w:tc>
          <w:tcPr>
            <w:tcW w:w="708" w:type="dxa"/>
            <w:shd w:val="clear" w:color="auto" w:fill="auto"/>
            <w:noWrap/>
            <w:vAlign w:val="center"/>
            <w:hideMark/>
          </w:tcPr>
          <w:p w14:paraId="6D380BEF" w14:textId="77777777" w:rsidR="00DB1D87" w:rsidRPr="00A464CF" w:rsidRDefault="00DB1D87" w:rsidP="00DB1D87">
            <w:pPr>
              <w:jc w:val="center"/>
              <w:rPr>
                <w:rFonts w:eastAsia="Times New Roman"/>
                <w:sz w:val="22"/>
                <w:szCs w:val="22"/>
              </w:rPr>
            </w:pPr>
            <w:r w:rsidRPr="00A464CF">
              <w:rPr>
                <w:rFonts w:eastAsia="Times New Roman"/>
                <w:sz w:val="22"/>
                <w:szCs w:val="22"/>
              </w:rPr>
              <w:t>8</w:t>
            </w:r>
          </w:p>
        </w:tc>
        <w:tc>
          <w:tcPr>
            <w:tcW w:w="5378" w:type="dxa"/>
            <w:shd w:val="clear" w:color="auto" w:fill="auto"/>
            <w:vAlign w:val="center"/>
            <w:hideMark/>
          </w:tcPr>
          <w:p w14:paraId="1A2ED161" w14:textId="77777777" w:rsidR="00DB1D87" w:rsidRPr="00A464CF" w:rsidRDefault="00DB1D87" w:rsidP="00DB1D87">
            <w:pPr>
              <w:rPr>
                <w:rFonts w:eastAsia="Times New Roman"/>
                <w:sz w:val="22"/>
                <w:szCs w:val="22"/>
              </w:rPr>
            </w:pPr>
            <w:r w:rsidRPr="00A464CF">
              <w:rPr>
                <w:rFonts w:eastAsia="Times New Roman"/>
                <w:sz w:val="22"/>
                <w:szCs w:val="22"/>
              </w:rPr>
              <w:t>Triển khai thực hiện quyết liệt, hiệu quả Đề án phát triển du lịch đến năm 2020 trở thành ngành kinh tế mũi nhọn</w:t>
            </w:r>
          </w:p>
        </w:tc>
        <w:tc>
          <w:tcPr>
            <w:tcW w:w="7771" w:type="dxa"/>
            <w:shd w:val="clear" w:color="auto" w:fill="auto"/>
            <w:vAlign w:val="center"/>
            <w:hideMark/>
          </w:tcPr>
          <w:p w14:paraId="112342E5" w14:textId="6DA66363" w:rsidR="00DB1D87" w:rsidRPr="00A464CF" w:rsidRDefault="00DB1D87" w:rsidP="0068087D">
            <w:pPr>
              <w:jc w:val="both"/>
              <w:rPr>
                <w:rFonts w:eastAsia="Times New Roman"/>
                <w:sz w:val="22"/>
                <w:szCs w:val="22"/>
              </w:rPr>
            </w:pPr>
            <w:r w:rsidRPr="00A464CF">
              <w:rPr>
                <w:rFonts w:eastAsia="Times New Roman"/>
                <w:sz w:val="22"/>
                <w:szCs w:val="22"/>
              </w:rPr>
              <w:t>Ban Chấp hành Trung ương ban hành Nghị quyết số 08-NQ/TW về phát triển ngành du lịch trở thành ngành kinh tế mũi nhọn. Xếp hạng tài nguyên du lịch Việt Nam ở vị trí 28/136 quốc gia và vùng lãnh thổ</w:t>
            </w:r>
          </w:p>
        </w:tc>
        <w:tc>
          <w:tcPr>
            <w:tcW w:w="1306" w:type="dxa"/>
            <w:shd w:val="clear" w:color="auto" w:fill="auto"/>
            <w:vAlign w:val="center"/>
            <w:hideMark/>
          </w:tcPr>
          <w:p w14:paraId="10C9F7B4"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rõ ràng</w:t>
            </w:r>
          </w:p>
          <w:p w14:paraId="2F3063D2" w14:textId="77777777" w:rsidR="00DB1D87" w:rsidRPr="00A464CF" w:rsidRDefault="00DB1D87" w:rsidP="00DB1D87">
            <w:pPr>
              <w:rPr>
                <w:rFonts w:eastAsia="Times New Roman"/>
                <w:sz w:val="22"/>
                <w:szCs w:val="22"/>
              </w:rPr>
            </w:pPr>
          </w:p>
        </w:tc>
      </w:tr>
      <w:tr w:rsidR="00A464CF" w:rsidRPr="00A464CF" w14:paraId="7578DEE2" w14:textId="77777777" w:rsidTr="00AA2D1A">
        <w:trPr>
          <w:trHeight w:val="345"/>
        </w:trPr>
        <w:tc>
          <w:tcPr>
            <w:tcW w:w="708" w:type="dxa"/>
            <w:shd w:val="clear" w:color="auto" w:fill="auto"/>
            <w:noWrap/>
            <w:vAlign w:val="center"/>
            <w:hideMark/>
          </w:tcPr>
          <w:p w14:paraId="314CAA15" w14:textId="77777777" w:rsidR="00DB1D87" w:rsidRPr="00A464CF" w:rsidRDefault="00DB1D87" w:rsidP="00DB1D87">
            <w:pPr>
              <w:jc w:val="center"/>
              <w:rPr>
                <w:rFonts w:eastAsia="Times New Roman"/>
                <w:b/>
                <w:bCs/>
                <w:sz w:val="22"/>
                <w:szCs w:val="22"/>
              </w:rPr>
            </w:pPr>
            <w:r w:rsidRPr="00A464CF">
              <w:rPr>
                <w:rFonts w:eastAsia="Times New Roman"/>
                <w:b/>
                <w:bCs/>
                <w:sz w:val="22"/>
                <w:szCs w:val="22"/>
              </w:rPr>
              <w:t>XIII</w:t>
            </w:r>
          </w:p>
        </w:tc>
        <w:tc>
          <w:tcPr>
            <w:tcW w:w="14455" w:type="dxa"/>
            <w:gridSpan w:val="3"/>
            <w:shd w:val="clear" w:color="auto" w:fill="auto"/>
            <w:vAlign w:val="center"/>
            <w:hideMark/>
          </w:tcPr>
          <w:p w14:paraId="6525C80F" w14:textId="77777777" w:rsidR="00DB1D87" w:rsidRPr="00A464CF" w:rsidRDefault="00DB1D87" w:rsidP="00DB1D87">
            <w:pPr>
              <w:rPr>
                <w:rFonts w:eastAsia="Times New Roman"/>
                <w:b/>
                <w:bCs/>
                <w:sz w:val="22"/>
                <w:szCs w:val="22"/>
              </w:rPr>
            </w:pPr>
            <w:r w:rsidRPr="00A464CF">
              <w:rPr>
                <w:rFonts w:eastAsia="Times New Roman"/>
                <w:b/>
                <w:bCs/>
                <w:sz w:val="22"/>
                <w:szCs w:val="22"/>
              </w:rPr>
              <w:t>Phát triển mạnh khu vực kinh tế tư nhân Việt Nam</w:t>
            </w:r>
          </w:p>
        </w:tc>
      </w:tr>
      <w:tr w:rsidR="00A464CF" w:rsidRPr="00A464CF" w14:paraId="2F7ACAC3" w14:textId="77777777" w:rsidTr="00AA2D1A">
        <w:trPr>
          <w:trHeight w:val="275"/>
        </w:trPr>
        <w:tc>
          <w:tcPr>
            <w:tcW w:w="708" w:type="dxa"/>
            <w:shd w:val="clear" w:color="auto" w:fill="auto"/>
            <w:noWrap/>
            <w:vAlign w:val="center"/>
            <w:hideMark/>
          </w:tcPr>
          <w:p w14:paraId="390B7279" w14:textId="77777777" w:rsidR="00DB1D87" w:rsidRPr="00A464CF" w:rsidRDefault="00DB1D87" w:rsidP="00DB1D87">
            <w:pPr>
              <w:jc w:val="center"/>
              <w:rPr>
                <w:rFonts w:eastAsia="Times New Roman"/>
                <w:sz w:val="22"/>
                <w:szCs w:val="22"/>
              </w:rPr>
            </w:pPr>
            <w:r w:rsidRPr="00A464CF">
              <w:rPr>
                <w:rFonts w:eastAsia="Times New Roman"/>
                <w:sz w:val="22"/>
                <w:szCs w:val="22"/>
              </w:rPr>
              <w:t>1</w:t>
            </w:r>
          </w:p>
        </w:tc>
        <w:tc>
          <w:tcPr>
            <w:tcW w:w="5378" w:type="dxa"/>
            <w:shd w:val="clear" w:color="auto" w:fill="auto"/>
            <w:vAlign w:val="center"/>
            <w:hideMark/>
          </w:tcPr>
          <w:p w14:paraId="073354DE" w14:textId="77777777" w:rsidR="00DB1D87" w:rsidRPr="00A464CF" w:rsidRDefault="00DB1D87" w:rsidP="00DB1D87">
            <w:pPr>
              <w:jc w:val="both"/>
              <w:rPr>
                <w:rFonts w:eastAsia="Times New Roman"/>
                <w:sz w:val="22"/>
                <w:szCs w:val="22"/>
              </w:rPr>
            </w:pPr>
            <w:r w:rsidRPr="00A464CF">
              <w:rPr>
                <w:rFonts w:eastAsia="Times New Roman"/>
                <w:sz w:val="22"/>
                <w:szCs w:val="22"/>
              </w:rPr>
              <w:t>Ban hành Luật hỗ trợ doanh nghiệp vừa và nhỏ, tăng cường công tác điều phối các chương trình hỗ trợ phát triển doanh nghiệp; rà soát tổng thể và đề xuất sửa đổi, bổ sung các luật, văn bản quy phạm pháp luật liên quan đến quản lý hoạt động đầu tư kinh doanh, đảm bảo tính thống nhất, công khai, minh bạch, không có sự chồng chéo, mâu thuẫn giữa các luật, tạo môi trường thuận lợi cho hoạt động đầu tư của doanh nghiệp</w:t>
            </w:r>
          </w:p>
        </w:tc>
        <w:tc>
          <w:tcPr>
            <w:tcW w:w="7771" w:type="dxa"/>
            <w:shd w:val="clear" w:color="auto" w:fill="auto"/>
            <w:vAlign w:val="center"/>
            <w:hideMark/>
          </w:tcPr>
          <w:p w14:paraId="574B7202" w14:textId="233FC514" w:rsidR="00DB1D87" w:rsidRPr="00A464CF" w:rsidRDefault="00DB1D87" w:rsidP="00FD28AC">
            <w:pPr>
              <w:jc w:val="both"/>
              <w:rPr>
                <w:rFonts w:eastAsia="Times New Roman"/>
                <w:sz w:val="22"/>
                <w:szCs w:val="22"/>
              </w:rPr>
            </w:pPr>
            <w:r w:rsidRPr="00A464CF">
              <w:rPr>
                <w:rFonts w:eastAsia="Times New Roman"/>
                <w:sz w:val="22"/>
                <w:szCs w:val="22"/>
              </w:rPr>
              <w:t>Quốc hội đã ban hành Luật Hỗ trợ doanh nghiệp nhỏ và vừa tại Kỳ họp thứ 3 Quốc hội khóa XIV (Luật số 04/2017/QH14). Các Nghị định: quy định chi tiết một số điều của Luật Hỗ trợ DNNVV, đầu tư cho khởi nghiệp sáng tạo, quỹ bảo lãnh tín dụng cho DNNVV cũng được ban hành, đảm bảo sự đồng bộ trong triển khai thực hiện Luật.</w:t>
            </w:r>
            <w:r w:rsidR="00FD28AC" w:rsidRPr="00A464CF">
              <w:rPr>
                <w:rFonts w:eastAsia="Times New Roman"/>
                <w:sz w:val="22"/>
                <w:szCs w:val="22"/>
              </w:rPr>
              <w:t xml:space="preserve"> Chính phủ đã ban hành Nghị định số 39/2019/NĐ-CP ngày 5/10/2019 về tổ chức và hoạt động của Quỹ Phát triển DNNVV.</w:t>
            </w:r>
            <w:r w:rsidRPr="00A464CF">
              <w:rPr>
                <w:rFonts w:eastAsia="Times New Roman"/>
                <w:sz w:val="22"/>
                <w:szCs w:val="22"/>
              </w:rPr>
              <w:t xml:space="preserve"> Đồng thời, Thủ tướng Chính phủ đã ký ban hành Chỉ thị số 15/CT-TTg về tổ chức triển khai thực hiện hiệu quả Luật Hỗ trợ DNNVV. Bộ đang xây dựng dự thảo Luật Sửa đổi một số điều của Luật sản xuất kinh doanh, nhằm tạo tính thống nhất giữa các luật liên quan đến đầu tư kinh doanh.</w:t>
            </w:r>
          </w:p>
        </w:tc>
        <w:tc>
          <w:tcPr>
            <w:tcW w:w="1306" w:type="dxa"/>
            <w:shd w:val="clear" w:color="auto" w:fill="auto"/>
            <w:vAlign w:val="center"/>
            <w:hideMark/>
          </w:tcPr>
          <w:p w14:paraId="04619AC3"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rõ ràng</w:t>
            </w:r>
          </w:p>
        </w:tc>
      </w:tr>
      <w:tr w:rsidR="00A464CF" w:rsidRPr="00A464CF" w14:paraId="692B0B8F" w14:textId="77777777" w:rsidTr="00AA2D1A">
        <w:trPr>
          <w:trHeight w:val="1850"/>
        </w:trPr>
        <w:tc>
          <w:tcPr>
            <w:tcW w:w="708" w:type="dxa"/>
            <w:shd w:val="clear" w:color="auto" w:fill="auto"/>
            <w:noWrap/>
            <w:vAlign w:val="center"/>
            <w:hideMark/>
          </w:tcPr>
          <w:p w14:paraId="14C15CDB" w14:textId="77777777" w:rsidR="00DB1D87" w:rsidRPr="00A464CF" w:rsidRDefault="00DB1D87" w:rsidP="00DB1D87">
            <w:pPr>
              <w:jc w:val="center"/>
              <w:rPr>
                <w:rFonts w:eastAsia="Times New Roman"/>
                <w:sz w:val="22"/>
                <w:szCs w:val="22"/>
              </w:rPr>
            </w:pPr>
            <w:r w:rsidRPr="00A464CF">
              <w:rPr>
                <w:rFonts w:eastAsia="Times New Roman"/>
                <w:sz w:val="22"/>
                <w:szCs w:val="22"/>
              </w:rPr>
              <w:t>2</w:t>
            </w:r>
          </w:p>
        </w:tc>
        <w:tc>
          <w:tcPr>
            <w:tcW w:w="5378" w:type="dxa"/>
            <w:shd w:val="clear" w:color="auto" w:fill="auto"/>
            <w:vAlign w:val="center"/>
            <w:hideMark/>
          </w:tcPr>
          <w:p w14:paraId="5913F202" w14:textId="77777777" w:rsidR="00DB1D87" w:rsidRPr="00A464CF" w:rsidRDefault="00DB1D87" w:rsidP="00DB1D87">
            <w:pPr>
              <w:jc w:val="both"/>
              <w:rPr>
                <w:rFonts w:eastAsia="Times New Roman"/>
                <w:sz w:val="22"/>
                <w:szCs w:val="22"/>
              </w:rPr>
            </w:pPr>
            <w:r w:rsidRPr="00A464CF">
              <w:rPr>
                <w:rFonts w:eastAsia="Times New Roman"/>
                <w:sz w:val="22"/>
                <w:szCs w:val="22"/>
              </w:rPr>
              <w:t>Tiếp tục đẩy mạnh cải cách thủ tục hành chính, giảm gánh nặng chi phí đối với doanh nghiệp, nhất là doanh nghiệp nhỏ và vừa</w:t>
            </w:r>
          </w:p>
        </w:tc>
        <w:tc>
          <w:tcPr>
            <w:tcW w:w="7771" w:type="dxa"/>
            <w:shd w:val="clear" w:color="auto" w:fill="auto"/>
            <w:vAlign w:val="center"/>
            <w:hideMark/>
          </w:tcPr>
          <w:p w14:paraId="6D381642" w14:textId="01C89652" w:rsidR="00DB1D87" w:rsidRPr="00A464CF" w:rsidRDefault="00DB1D87" w:rsidP="00FD28AC">
            <w:pPr>
              <w:jc w:val="both"/>
              <w:rPr>
                <w:rFonts w:eastAsia="Times New Roman"/>
                <w:sz w:val="22"/>
                <w:szCs w:val="22"/>
              </w:rPr>
            </w:pPr>
            <w:r w:rsidRPr="00A464CF">
              <w:rPr>
                <w:rFonts w:eastAsia="Times New Roman"/>
                <w:sz w:val="22"/>
                <w:szCs w:val="22"/>
              </w:rPr>
              <w:t>Bộ Kế hoạch và Đầu tư đã xây dựng Báo cáo giảm chi phí cho doanh nghiệp và trình Thủ tướng Chính phủ. Tổ công tác của Thủ tướng đã tích cực làm việc với các Bộ, ngành để cắt giảm thủ tục hành chính cho doanh nghiệp. Việc cắt giảm thủ tục hành chính đã đạt được một số kết quả bước đầu. Nhưng theo đánh giá của Tổ công tác của Thủ tướng, việc cắt giảm thủ tục liên quan đến kiểm tra chuyên ngành chưa được các Bộ quyết liệt triển khai thực hiện; các Bộ chưa đề xuất cụ thể cách thức quản lý đối với các danh mục hàng hóa phải kiểm tra chuyên ngành đang bị chồng chéo, chịu nhiều hình thức kiểm tra của nhiều Bộ hoặc của nhiều cơ quan, đơn vị thuộc một Bộ; chi phí của thủ tục KTCN vẫn là gánh nặng lớn đối với doanh nghiệp... Việc cắt giảm điều kiện kinh doanh của một số Bộ, ngành vẫn còn hạn chế</w:t>
            </w:r>
          </w:p>
        </w:tc>
        <w:tc>
          <w:tcPr>
            <w:tcW w:w="1306" w:type="dxa"/>
            <w:shd w:val="clear" w:color="auto" w:fill="auto"/>
            <w:vAlign w:val="center"/>
            <w:hideMark/>
          </w:tcPr>
          <w:p w14:paraId="1BBAD285"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779A2444" w14:textId="77777777" w:rsidTr="00AA2D1A">
        <w:trPr>
          <w:trHeight w:val="417"/>
        </w:trPr>
        <w:tc>
          <w:tcPr>
            <w:tcW w:w="708" w:type="dxa"/>
            <w:shd w:val="clear" w:color="auto" w:fill="auto"/>
            <w:noWrap/>
            <w:vAlign w:val="center"/>
            <w:hideMark/>
          </w:tcPr>
          <w:p w14:paraId="33676596" w14:textId="77777777" w:rsidR="00DB1D87" w:rsidRPr="00A464CF" w:rsidRDefault="00DB1D87" w:rsidP="00DB1D87">
            <w:pPr>
              <w:jc w:val="center"/>
              <w:rPr>
                <w:rFonts w:eastAsia="Times New Roman"/>
                <w:sz w:val="22"/>
                <w:szCs w:val="22"/>
              </w:rPr>
            </w:pPr>
            <w:r w:rsidRPr="00A464CF">
              <w:rPr>
                <w:rFonts w:eastAsia="Times New Roman"/>
                <w:sz w:val="22"/>
                <w:szCs w:val="22"/>
              </w:rPr>
              <w:lastRenderedPageBreak/>
              <w:t>3</w:t>
            </w:r>
          </w:p>
        </w:tc>
        <w:tc>
          <w:tcPr>
            <w:tcW w:w="5378" w:type="dxa"/>
            <w:shd w:val="clear" w:color="auto" w:fill="auto"/>
            <w:vAlign w:val="center"/>
            <w:hideMark/>
          </w:tcPr>
          <w:p w14:paraId="20B0EFE7" w14:textId="20D0D0DF" w:rsidR="00DB1D87" w:rsidRPr="00A464CF" w:rsidRDefault="00DB1D87" w:rsidP="00DB1D87">
            <w:pPr>
              <w:jc w:val="both"/>
              <w:rPr>
                <w:rFonts w:eastAsia="Times New Roman"/>
                <w:sz w:val="22"/>
                <w:szCs w:val="22"/>
              </w:rPr>
            </w:pPr>
            <w:r w:rsidRPr="00A464CF">
              <w:rPr>
                <w:rFonts w:eastAsia="Times New Roman"/>
                <w:sz w:val="22"/>
                <w:szCs w:val="22"/>
              </w:rPr>
              <w:t>Đổi mới lề lối, phương thức và thái độ làm việc của cán bộ, công chức, viên chức theo hướng hỗ trợ và phục vụ doanh nghiệp; công khai, minh bạch, tăng cường kỷ luật, kỷ cương đối với cán bộ, công chức, viên chức, cơ quan Nhà nước, xử lý nghiêm các tiêu cực, nhũng nhiễu</w:t>
            </w:r>
          </w:p>
        </w:tc>
        <w:tc>
          <w:tcPr>
            <w:tcW w:w="7771" w:type="dxa"/>
            <w:shd w:val="clear" w:color="auto" w:fill="auto"/>
            <w:vAlign w:val="center"/>
            <w:hideMark/>
          </w:tcPr>
          <w:p w14:paraId="3EF0448A" w14:textId="0D489029" w:rsidR="00DB1D87" w:rsidRPr="00A464CF" w:rsidRDefault="00DB1D87" w:rsidP="00FD28AC">
            <w:pPr>
              <w:jc w:val="both"/>
              <w:rPr>
                <w:rFonts w:eastAsia="Times New Roman"/>
                <w:sz w:val="22"/>
                <w:szCs w:val="22"/>
              </w:rPr>
            </w:pPr>
            <w:r w:rsidRPr="00A464CF">
              <w:rPr>
                <w:rFonts w:eastAsia="Times New Roman"/>
                <w:sz w:val="22"/>
                <w:szCs w:val="22"/>
              </w:rPr>
              <w:t xml:space="preserve">Bộ Nội vụ đã xây dựng và trình Chính phủ các nghị định sửa đổi, bổ sung các nghị định quy định về tổ chức bộ máy bộ, ngành, địa phương theo hướng phù hợp với phương thức quản lý, xây dựng Nhà nước quản lý và phục vụ. Bộ xây dựng </w:t>
            </w:r>
            <w:r w:rsidR="00FD28AC" w:rsidRPr="00A464CF">
              <w:rPr>
                <w:rFonts w:eastAsia="Times New Roman"/>
                <w:sz w:val="22"/>
                <w:szCs w:val="22"/>
              </w:rPr>
              <w:t xml:space="preserve">đã </w:t>
            </w:r>
            <w:r w:rsidRPr="00A464CF">
              <w:rPr>
                <w:rFonts w:eastAsia="Times New Roman"/>
                <w:sz w:val="22"/>
                <w:szCs w:val="22"/>
              </w:rPr>
              <w:t xml:space="preserve">trình Chính phủ về dự thảo Nghị quyết của Chính phủ về Chương trình hành động của Chính phủ triển khai Nghị quyết số 19-NQ/TW ngày 25/10/2017, Nghị quyết số 18-NQ/TW ngày 25/10/2017 về một số vấn đề tiếp tục đổi mới, sắp xếp bộ máy của hệ thống chính trị tinh gọn, hoạt động hiệu lực, hiệu quả và Nghị quyết của Quốc hội về đẩy mạnh việc thực hiện chính sách, pháp luật về cải cách tổ chức bộ máy hành chính Nhà nước giai đoạn 2016-2021. Tuy nhiên, chuyển biến về kỷ luật, kỷ cương cán bộ, công chức ở ở cấp dưới, nhất là các địa phương, cơ sở còn chậm; một bộ phận cán bộ, công chức chấp hành kỷ luật, kỷ cương lỏng lẻo, có biểu hiện nhũng nhiễu, tiêu cực... </w:t>
            </w:r>
          </w:p>
        </w:tc>
        <w:tc>
          <w:tcPr>
            <w:tcW w:w="1306" w:type="dxa"/>
            <w:shd w:val="clear" w:color="auto" w:fill="auto"/>
            <w:vAlign w:val="center"/>
            <w:hideMark/>
          </w:tcPr>
          <w:p w14:paraId="228230E2"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316ED152" w14:textId="77777777" w:rsidTr="00AA2D1A">
        <w:trPr>
          <w:trHeight w:val="503"/>
        </w:trPr>
        <w:tc>
          <w:tcPr>
            <w:tcW w:w="708" w:type="dxa"/>
            <w:shd w:val="clear" w:color="auto" w:fill="auto"/>
            <w:noWrap/>
            <w:vAlign w:val="center"/>
            <w:hideMark/>
          </w:tcPr>
          <w:p w14:paraId="6F6E408F" w14:textId="77777777" w:rsidR="00DB1D87" w:rsidRPr="00A464CF" w:rsidRDefault="00DB1D87" w:rsidP="00DB1D87">
            <w:pPr>
              <w:jc w:val="center"/>
              <w:rPr>
                <w:rFonts w:eastAsia="Times New Roman"/>
                <w:b/>
                <w:bCs/>
                <w:sz w:val="22"/>
                <w:szCs w:val="22"/>
              </w:rPr>
            </w:pPr>
            <w:r w:rsidRPr="00A464CF">
              <w:rPr>
                <w:rFonts w:eastAsia="Times New Roman"/>
                <w:b/>
                <w:bCs/>
                <w:sz w:val="22"/>
                <w:szCs w:val="22"/>
              </w:rPr>
              <w:t>XIV</w:t>
            </w:r>
          </w:p>
        </w:tc>
        <w:tc>
          <w:tcPr>
            <w:tcW w:w="14455" w:type="dxa"/>
            <w:gridSpan w:val="3"/>
            <w:shd w:val="clear" w:color="auto" w:fill="auto"/>
            <w:vAlign w:val="center"/>
            <w:hideMark/>
          </w:tcPr>
          <w:p w14:paraId="73AF9187" w14:textId="77777777" w:rsidR="00DB1D87" w:rsidRPr="00A464CF" w:rsidRDefault="00DB1D87" w:rsidP="00DB1D87">
            <w:pPr>
              <w:rPr>
                <w:rFonts w:eastAsia="Times New Roman"/>
                <w:b/>
                <w:bCs/>
                <w:sz w:val="22"/>
                <w:szCs w:val="22"/>
              </w:rPr>
            </w:pPr>
            <w:r w:rsidRPr="00A464CF">
              <w:rPr>
                <w:rFonts w:eastAsia="Times New Roman"/>
                <w:b/>
                <w:bCs/>
                <w:sz w:val="22"/>
                <w:szCs w:val="22"/>
              </w:rPr>
              <w:t>Đổi mới cách thức thực hiện liên kết, phối hợp giữa các địa phương trong phát triển kinh tế vùng; thực hiện có hiệu quả quá trình đô thị hóa</w:t>
            </w:r>
          </w:p>
        </w:tc>
      </w:tr>
      <w:tr w:rsidR="00A464CF" w:rsidRPr="00A464CF" w14:paraId="69CE1953" w14:textId="77777777" w:rsidTr="00AA2D1A">
        <w:trPr>
          <w:trHeight w:val="264"/>
        </w:trPr>
        <w:tc>
          <w:tcPr>
            <w:tcW w:w="708" w:type="dxa"/>
            <w:shd w:val="clear" w:color="auto" w:fill="auto"/>
            <w:noWrap/>
            <w:vAlign w:val="center"/>
            <w:hideMark/>
          </w:tcPr>
          <w:p w14:paraId="0360F236" w14:textId="77777777" w:rsidR="00DB1D87" w:rsidRPr="00A464CF" w:rsidRDefault="00DB1D87" w:rsidP="00DB1D87">
            <w:pPr>
              <w:jc w:val="center"/>
              <w:rPr>
                <w:rFonts w:eastAsia="Times New Roman"/>
                <w:sz w:val="22"/>
                <w:szCs w:val="22"/>
              </w:rPr>
            </w:pPr>
            <w:r w:rsidRPr="00A464CF">
              <w:rPr>
                <w:rFonts w:eastAsia="Times New Roman"/>
                <w:sz w:val="22"/>
                <w:szCs w:val="22"/>
              </w:rPr>
              <w:t>1</w:t>
            </w:r>
          </w:p>
        </w:tc>
        <w:tc>
          <w:tcPr>
            <w:tcW w:w="5378" w:type="dxa"/>
            <w:shd w:val="clear" w:color="auto" w:fill="auto"/>
            <w:vAlign w:val="center"/>
            <w:hideMark/>
          </w:tcPr>
          <w:p w14:paraId="3938B6AB" w14:textId="77777777" w:rsidR="00DB1D87" w:rsidRPr="00A464CF" w:rsidRDefault="00DB1D87" w:rsidP="00DB1D87">
            <w:pPr>
              <w:jc w:val="both"/>
              <w:rPr>
                <w:rFonts w:eastAsia="Times New Roman"/>
                <w:sz w:val="22"/>
                <w:szCs w:val="22"/>
              </w:rPr>
            </w:pPr>
            <w:r w:rsidRPr="00A464CF">
              <w:rPr>
                <w:rFonts w:eastAsia="Times New Roman"/>
                <w:sz w:val="22"/>
                <w:szCs w:val="22"/>
              </w:rPr>
              <w:t>Ban hành Luật Quy hoạch và các văn bản hướng dẫn thực hiện. Nghiên cứu khả năng tích hợp các quy hoạch phát triển cấp tỉnh vào các quy hoạch phát triển cấp vùng. Hoàn thiện và nâng cao chất lượng, hiệu lực thực thi các quy hoạch phát triển kinh tế vùng; đề xuất giải pháp nâng cao năng lực các Ban Chỉ đạo Tây Bắc, Tây Nguyên, Tây Nam Bộ trong chỉ đạo tổ chức thực hiện các quy hoạch phát triển vùng và chỉ đạo, giám sát liên kết, phối hợp phát triển giữa các địa phương trong vùng.</w:t>
            </w:r>
          </w:p>
        </w:tc>
        <w:tc>
          <w:tcPr>
            <w:tcW w:w="7771" w:type="dxa"/>
            <w:shd w:val="clear" w:color="auto" w:fill="auto"/>
            <w:vAlign w:val="center"/>
            <w:hideMark/>
          </w:tcPr>
          <w:p w14:paraId="4FC488AD" w14:textId="681C4299" w:rsidR="00DB1D87" w:rsidRPr="00A464CF" w:rsidRDefault="00DB1D87" w:rsidP="00FD28AC">
            <w:pPr>
              <w:jc w:val="both"/>
              <w:rPr>
                <w:rFonts w:eastAsia="Times New Roman"/>
                <w:sz w:val="22"/>
                <w:szCs w:val="22"/>
              </w:rPr>
            </w:pPr>
            <w:r w:rsidRPr="00A464CF">
              <w:rPr>
                <w:rFonts w:eastAsia="Times New Roman"/>
                <w:sz w:val="22"/>
                <w:szCs w:val="22"/>
              </w:rPr>
              <w:t xml:space="preserve">Luật Quy hoạch đã được Quốc hội thông qua tại Kỳ họp thứ 4 Quốc hội khóa XIV. Chính phủ đã ban hành các văn bản hướng dẫn thi hành. </w:t>
            </w:r>
          </w:p>
        </w:tc>
        <w:tc>
          <w:tcPr>
            <w:tcW w:w="1306" w:type="dxa"/>
            <w:shd w:val="clear" w:color="auto" w:fill="auto"/>
            <w:vAlign w:val="center"/>
            <w:hideMark/>
          </w:tcPr>
          <w:p w14:paraId="41BC246C" w14:textId="1F33CF6F" w:rsidR="00DB1D87" w:rsidRPr="00A464CF" w:rsidRDefault="00DB1D87" w:rsidP="00FD28AC">
            <w:pPr>
              <w:rPr>
                <w:rFonts w:eastAsia="Times New Roman"/>
                <w:sz w:val="22"/>
                <w:szCs w:val="22"/>
              </w:rPr>
            </w:pPr>
            <w:r w:rsidRPr="00A464CF">
              <w:rPr>
                <w:rFonts w:eastAsia="Times New Roman"/>
                <w:sz w:val="22"/>
                <w:szCs w:val="22"/>
              </w:rPr>
              <w:t xml:space="preserve">Đã triển khai và có kết quả </w:t>
            </w:r>
            <w:r w:rsidR="00FD28AC" w:rsidRPr="00A464CF">
              <w:rPr>
                <w:rFonts w:eastAsia="Times New Roman"/>
                <w:sz w:val="22"/>
                <w:szCs w:val="22"/>
              </w:rPr>
              <w:t>rõ ràng</w:t>
            </w:r>
          </w:p>
        </w:tc>
      </w:tr>
      <w:tr w:rsidR="00A464CF" w:rsidRPr="00A464CF" w14:paraId="2077C246" w14:textId="77777777" w:rsidTr="00AA2D1A">
        <w:trPr>
          <w:trHeight w:val="60"/>
        </w:trPr>
        <w:tc>
          <w:tcPr>
            <w:tcW w:w="708" w:type="dxa"/>
            <w:shd w:val="clear" w:color="auto" w:fill="auto"/>
            <w:noWrap/>
            <w:vAlign w:val="center"/>
            <w:hideMark/>
          </w:tcPr>
          <w:p w14:paraId="22AE7A0B" w14:textId="77777777" w:rsidR="00DB1D87" w:rsidRPr="00A464CF" w:rsidRDefault="00DB1D87" w:rsidP="00DB1D87">
            <w:pPr>
              <w:jc w:val="center"/>
              <w:rPr>
                <w:rFonts w:eastAsia="Times New Roman"/>
                <w:sz w:val="22"/>
                <w:szCs w:val="22"/>
              </w:rPr>
            </w:pPr>
            <w:r w:rsidRPr="00A464CF">
              <w:rPr>
                <w:rFonts w:eastAsia="Times New Roman"/>
                <w:sz w:val="22"/>
                <w:szCs w:val="22"/>
              </w:rPr>
              <w:t>2</w:t>
            </w:r>
          </w:p>
        </w:tc>
        <w:tc>
          <w:tcPr>
            <w:tcW w:w="5378" w:type="dxa"/>
            <w:shd w:val="clear" w:color="auto" w:fill="auto"/>
            <w:vAlign w:val="center"/>
            <w:hideMark/>
          </w:tcPr>
          <w:p w14:paraId="1A8CB943" w14:textId="77777777" w:rsidR="00DB1D87" w:rsidRPr="00A464CF" w:rsidRDefault="00DB1D87" w:rsidP="00DB1D87">
            <w:pPr>
              <w:jc w:val="both"/>
              <w:rPr>
                <w:rFonts w:eastAsia="Times New Roman"/>
                <w:sz w:val="22"/>
                <w:szCs w:val="22"/>
              </w:rPr>
            </w:pPr>
            <w:r w:rsidRPr="00A464CF">
              <w:rPr>
                <w:rFonts w:eastAsia="Times New Roman"/>
                <w:sz w:val="22"/>
                <w:szCs w:val="22"/>
              </w:rPr>
              <w:t>Nghiên cứu, ban hành cơ chế cụ thể yêu cầu các địa phương trong vùng phối hợp xây dựng các đề án, thỏa thuận phối hợp, ưu tiên nguồn lực thực hiện thí điểm liên kết phát triển kinh tế - xã hội; phối hợp ban hành và thực hiện chính sách thu hút đầu tư, xúc tiến đầu tư, ưu tiên các ngành, lĩnh vực có tiềm năng, lợi thế cạnh tranh.</w:t>
            </w:r>
          </w:p>
        </w:tc>
        <w:tc>
          <w:tcPr>
            <w:tcW w:w="7771" w:type="dxa"/>
            <w:shd w:val="clear" w:color="auto" w:fill="auto"/>
            <w:vAlign w:val="center"/>
            <w:hideMark/>
          </w:tcPr>
          <w:p w14:paraId="23ABFAD6" w14:textId="0447803B" w:rsidR="00DB1D87" w:rsidRPr="00A464CF" w:rsidRDefault="00DB1D87" w:rsidP="00FD28AC">
            <w:pPr>
              <w:jc w:val="both"/>
              <w:rPr>
                <w:rFonts w:eastAsia="Times New Roman"/>
                <w:sz w:val="22"/>
                <w:szCs w:val="22"/>
              </w:rPr>
            </w:pPr>
            <w:r w:rsidRPr="00A464CF">
              <w:rPr>
                <w:rFonts w:eastAsia="Times New Roman"/>
                <w:sz w:val="22"/>
                <w:szCs w:val="22"/>
              </w:rPr>
              <w:t xml:space="preserve">Cơ chế phối hợp giữa các địa phương trong vùng mới chỉ được thực hiện thí điểm tại vùng Đồng bằng sông Cửu Long theo Quyết định số 593/QĐ-TTg ngày 06/04/2016 của Thủ tướng Chính phủ. </w:t>
            </w:r>
            <w:r w:rsidR="00FD28AC" w:rsidRPr="00A464CF">
              <w:rPr>
                <w:rFonts w:eastAsia="Times New Roman"/>
                <w:sz w:val="22"/>
              </w:rPr>
              <w:t>Cơ chế này đã có tác dụng thúc đẩy các sáng kiến liên kết giữa các địa phương trong vùng. Một số ban điều phối vùng tiếp tục là cơ chế kết nối các địa phương trong hợp tác phát triển.</w:t>
            </w:r>
          </w:p>
        </w:tc>
        <w:tc>
          <w:tcPr>
            <w:tcW w:w="1306" w:type="dxa"/>
            <w:shd w:val="clear" w:color="auto" w:fill="auto"/>
            <w:vAlign w:val="center"/>
            <w:hideMark/>
          </w:tcPr>
          <w:p w14:paraId="17C29FC3" w14:textId="4764FDDF" w:rsidR="00DB1D87" w:rsidRPr="00A464CF" w:rsidRDefault="00DB1D87" w:rsidP="00FD28AC">
            <w:pPr>
              <w:rPr>
                <w:rFonts w:eastAsia="Times New Roman"/>
                <w:sz w:val="22"/>
                <w:szCs w:val="22"/>
              </w:rPr>
            </w:pPr>
            <w:r w:rsidRPr="00A464CF">
              <w:rPr>
                <w:rFonts w:eastAsia="Times New Roman"/>
                <w:sz w:val="22"/>
                <w:szCs w:val="22"/>
              </w:rPr>
              <w:t xml:space="preserve">Đã triển khai </w:t>
            </w:r>
            <w:r w:rsidR="00FD28AC" w:rsidRPr="00A464CF">
              <w:rPr>
                <w:rFonts w:eastAsia="Times New Roman"/>
                <w:sz w:val="22"/>
                <w:szCs w:val="22"/>
              </w:rPr>
              <w:t>và có kết quả bước đầu</w:t>
            </w:r>
          </w:p>
        </w:tc>
      </w:tr>
      <w:tr w:rsidR="00A464CF" w:rsidRPr="00A464CF" w14:paraId="1806DE53" w14:textId="77777777" w:rsidTr="00AA2D1A">
        <w:trPr>
          <w:trHeight w:val="668"/>
        </w:trPr>
        <w:tc>
          <w:tcPr>
            <w:tcW w:w="708" w:type="dxa"/>
            <w:shd w:val="clear" w:color="auto" w:fill="auto"/>
            <w:noWrap/>
            <w:vAlign w:val="center"/>
            <w:hideMark/>
          </w:tcPr>
          <w:p w14:paraId="2D64C761" w14:textId="77777777" w:rsidR="00DB1D87" w:rsidRPr="00A464CF" w:rsidRDefault="00DB1D87" w:rsidP="00DB1D87">
            <w:pPr>
              <w:jc w:val="center"/>
              <w:rPr>
                <w:rFonts w:eastAsia="Times New Roman"/>
                <w:sz w:val="22"/>
                <w:szCs w:val="22"/>
              </w:rPr>
            </w:pPr>
            <w:r w:rsidRPr="00A464CF">
              <w:rPr>
                <w:rFonts w:eastAsia="Times New Roman"/>
                <w:sz w:val="22"/>
                <w:szCs w:val="22"/>
              </w:rPr>
              <w:t>3</w:t>
            </w:r>
          </w:p>
        </w:tc>
        <w:tc>
          <w:tcPr>
            <w:tcW w:w="5378" w:type="dxa"/>
            <w:shd w:val="clear" w:color="auto" w:fill="auto"/>
            <w:vAlign w:val="center"/>
            <w:hideMark/>
          </w:tcPr>
          <w:p w14:paraId="0E41A6D0" w14:textId="77777777" w:rsidR="00DB1D87" w:rsidRPr="00A464CF" w:rsidRDefault="00DB1D87" w:rsidP="00DB1D87">
            <w:pPr>
              <w:jc w:val="both"/>
              <w:rPr>
                <w:rFonts w:eastAsia="Times New Roman"/>
                <w:sz w:val="22"/>
                <w:szCs w:val="22"/>
              </w:rPr>
            </w:pPr>
            <w:r w:rsidRPr="00A464CF">
              <w:rPr>
                <w:rFonts w:eastAsia="Times New Roman"/>
                <w:sz w:val="22"/>
                <w:szCs w:val="22"/>
              </w:rPr>
              <w:t>Rà soát, điều chỉnh chức năng, nhiệm vụ của chính quyền địa phương và hình thành thể chế điều phối phát triển kinh tế theo vùng</w:t>
            </w:r>
          </w:p>
        </w:tc>
        <w:tc>
          <w:tcPr>
            <w:tcW w:w="7771" w:type="dxa"/>
            <w:shd w:val="clear" w:color="auto" w:fill="auto"/>
            <w:vAlign w:val="center"/>
            <w:hideMark/>
          </w:tcPr>
          <w:p w14:paraId="07A9337C" w14:textId="034E6F7C" w:rsidR="00DB1D87" w:rsidRPr="00A464CF" w:rsidRDefault="00DB1D87" w:rsidP="00DB1D87">
            <w:pPr>
              <w:jc w:val="both"/>
              <w:rPr>
                <w:rFonts w:eastAsia="Times New Roman"/>
                <w:sz w:val="22"/>
                <w:szCs w:val="22"/>
              </w:rPr>
            </w:pPr>
            <w:r w:rsidRPr="00A464CF">
              <w:rPr>
                <w:rFonts w:eastAsia="Times New Roman"/>
                <w:sz w:val="22"/>
                <w:szCs w:val="22"/>
              </w:rPr>
              <w:t>Nhiều văn bản hướng dẫn hoạt động của chính quyền địa phương được ban hành; tuy nhiên, nhiều quy định của Luật Tổ chức chính quyền địa phương vẫn chưa được cụ thể hóa, như các quy định về hoạt động của hội đồng nhân dân, quan hệ giữa hội đồng nhân dân các cấp. Các mô hình điều phối phát triển vùng vẫn chưa được thực hiện hiệu quả, liên kết giữa các địa phương trong vùng nhìn chung chưa cao.</w:t>
            </w:r>
            <w:r w:rsidR="00FD28AC" w:rsidRPr="00A464CF">
              <w:rPr>
                <w:rFonts w:eastAsia="Times New Roman"/>
                <w:sz w:val="22"/>
                <w:szCs w:val="22"/>
              </w:rPr>
              <w:t xml:space="preserve"> </w:t>
            </w:r>
            <w:r w:rsidR="00FD28AC" w:rsidRPr="00A464CF">
              <w:rPr>
                <w:rFonts w:eastAsia="Times New Roman"/>
                <w:sz w:val="22"/>
              </w:rPr>
              <w:t>Bộ Kế hoạch và Đầu tư đang xây dựng Đề án “Thể chế liên kết vùng”.</w:t>
            </w:r>
          </w:p>
        </w:tc>
        <w:tc>
          <w:tcPr>
            <w:tcW w:w="1306" w:type="dxa"/>
            <w:shd w:val="clear" w:color="auto" w:fill="auto"/>
            <w:vAlign w:val="center"/>
            <w:hideMark/>
          </w:tcPr>
          <w:p w14:paraId="0128DF30" w14:textId="77777777" w:rsidR="00DB1D87" w:rsidRPr="00A464CF" w:rsidRDefault="00DB1D87" w:rsidP="00DB1D87">
            <w:pPr>
              <w:rPr>
                <w:rFonts w:eastAsia="Times New Roman"/>
                <w:sz w:val="22"/>
                <w:szCs w:val="22"/>
              </w:rPr>
            </w:pPr>
            <w:r w:rsidRPr="00A464CF">
              <w:rPr>
                <w:rFonts w:eastAsia="Times New Roman"/>
                <w:sz w:val="22"/>
                <w:szCs w:val="22"/>
              </w:rPr>
              <w:t>Đã triển khai nhưng chậm so với kế hoạch</w:t>
            </w:r>
          </w:p>
        </w:tc>
      </w:tr>
      <w:tr w:rsidR="00A464CF" w:rsidRPr="00A464CF" w14:paraId="365509A9" w14:textId="77777777" w:rsidTr="00AA2D1A">
        <w:trPr>
          <w:gridBefore w:val="1"/>
          <w:wBefore w:w="708" w:type="dxa"/>
          <w:trHeight w:val="60"/>
        </w:trPr>
        <w:tc>
          <w:tcPr>
            <w:tcW w:w="5378" w:type="dxa"/>
            <w:shd w:val="clear" w:color="auto" w:fill="auto"/>
            <w:vAlign w:val="center"/>
            <w:hideMark/>
          </w:tcPr>
          <w:p w14:paraId="5A8BDE3C" w14:textId="77777777" w:rsidR="00DB1D87" w:rsidRPr="00A464CF" w:rsidRDefault="00DB1D87" w:rsidP="00DB1D87">
            <w:pPr>
              <w:jc w:val="both"/>
              <w:rPr>
                <w:rFonts w:eastAsia="Times New Roman"/>
                <w:sz w:val="22"/>
                <w:szCs w:val="22"/>
              </w:rPr>
            </w:pPr>
            <w:r w:rsidRPr="00A464CF">
              <w:rPr>
                <w:rFonts w:eastAsia="Times New Roman"/>
                <w:sz w:val="22"/>
                <w:szCs w:val="22"/>
              </w:rPr>
              <w:t xml:space="preserve">Rà soát, nghiên cứu, hoàn thiện quy hoạch tổng thể hệ thống đô thị quốc gia tầm nhìn đến năm 2050, Chiến lược </w:t>
            </w:r>
            <w:r w:rsidRPr="00A464CF">
              <w:rPr>
                <w:rFonts w:eastAsia="Times New Roman"/>
                <w:sz w:val="22"/>
                <w:szCs w:val="22"/>
              </w:rPr>
              <w:lastRenderedPageBreak/>
              <w:t>phát triển đô thị quốc gia giai đoạn 2020 - 2030 trong năm 2018; nghiên cứu, hoàn thiện mô hình quản lý phát triển đô thị, tổ chức bộ máy, chức năng, nhiệm vụ, phương thức quản lý của chính quyền đô thị và đẩy mạnh đào tạo cán bộ quản lý đô thị các cấp</w:t>
            </w:r>
          </w:p>
        </w:tc>
        <w:tc>
          <w:tcPr>
            <w:tcW w:w="7771" w:type="dxa"/>
            <w:shd w:val="clear" w:color="auto" w:fill="auto"/>
            <w:vAlign w:val="center"/>
            <w:hideMark/>
          </w:tcPr>
          <w:p w14:paraId="42D97F19" w14:textId="77777777" w:rsidR="00DB1D87" w:rsidRPr="00A464CF" w:rsidRDefault="00DB1D87" w:rsidP="00DB1D87">
            <w:pPr>
              <w:jc w:val="both"/>
              <w:rPr>
                <w:rFonts w:eastAsia="Times New Roman"/>
                <w:sz w:val="22"/>
                <w:szCs w:val="22"/>
              </w:rPr>
            </w:pPr>
            <w:r w:rsidRPr="00A464CF">
              <w:rPr>
                <w:rFonts w:eastAsia="Times New Roman"/>
                <w:sz w:val="22"/>
                <w:szCs w:val="22"/>
              </w:rPr>
              <w:lastRenderedPageBreak/>
              <w:t xml:space="preserve">Bộ Xây dựng đang triển khai dự án sự nghiệp kinh tế về Điều tra, khảo sát tình hình thực hiện định hướng quy hoạch tổng thể hệ thống đô thị Việt Nam đến năm 2025 tầm </w:t>
            </w:r>
            <w:r w:rsidRPr="00A464CF">
              <w:rPr>
                <w:rFonts w:eastAsia="Times New Roman"/>
                <w:sz w:val="22"/>
                <w:szCs w:val="22"/>
              </w:rPr>
              <w:lastRenderedPageBreak/>
              <w:t>nhìn đến năm 2050 (Quyết định số 336/QĐ-BXD ngày 08/4/2016 của Bộ trưởng Bộ Xây dựng). Nghiên cứu công cụ quản lý phát triển đô thị Việt Nam theo hướng mới, thay đổi cơ cấu, cách tiếp cận quản lý trên chỉ số (như chỉ tiêu xây dựng đô thị tăng trưởng xanh, chỉ số chống chịu với Biến đổi khí hậu). Từng bước nghiên cứu phát triển đô thị Thông minh, theo đó xây dựng các nhiệm vụ khung thuộc lĩnh vực phát triển đô thị, chuẩn bị lộ trình xây dựng đô thị thông minh. Tuy nhiên, đến nay, Bộ Xây dựng vẫn chưa ban hành được bộ tiêu chí đánh giá đô thị thông minh của Việt Nam</w:t>
            </w:r>
          </w:p>
        </w:tc>
        <w:tc>
          <w:tcPr>
            <w:tcW w:w="1306" w:type="dxa"/>
            <w:shd w:val="clear" w:color="auto" w:fill="auto"/>
            <w:vAlign w:val="center"/>
            <w:hideMark/>
          </w:tcPr>
          <w:p w14:paraId="2CEDB567" w14:textId="77777777" w:rsidR="00DB1D87" w:rsidRPr="00A464CF" w:rsidRDefault="00DB1D87" w:rsidP="00DB1D87">
            <w:pPr>
              <w:rPr>
                <w:rFonts w:eastAsia="Times New Roman"/>
                <w:sz w:val="22"/>
                <w:szCs w:val="22"/>
              </w:rPr>
            </w:pPr>
            <w:r w:rsidRPr="00A464CF">
              <w:rPr>
                <w:rFonts w:eastAsia="Times New Roman"/>
                <w:sz w:val="22"/>
                <w:szCs w:val="22"/>
              </w:rPr>
              <w:lastRenderedPageBreak/>
              <w:t xml:space="preserve">Đã triển khai và có </w:t>
            </w:r>
            <w:r w:rsidRPr="00A464CF">
              <w:rPr>
                <w:rFonts w:eastAsia="Times New Roman"/>
                <w:sz w:val="22"/>
                <w:szCs w:val="22"/>
              </w:rPr>
              <w:lastRenderedPageBreak/>
              <w:t>kết quả bước đầu</w:t>
            </w:r>
          </w:p>
        </w:tc>
      </w:tr>
      <w:tr w:rsidR="00A464CF" w:rsidRPr="00A464CF" w14:paraId="47DD7D58" w14:textId="77777777" w:rsidTr="00AA2D1A">
        <w:trPr>
          <w:trHeight w:val="60"/>
        </w:trPr>
        <w:tc>
          <w:tcPr>
            <w:tcW w:w="708" w:type="dxa"/>
            <w:shd w:val="clear" w:color="auto" w:fill="auto"/>
            <w:noWrap/>
            <w:vAlign w:val="center"/>
            <w:hideMark/>
          </w:tcPr>
          <w:p w14:paraId="776058AE" w14:textId="77777777" w:rsidR="00DB1D87" w:rsidRPr="00A464CF" w:rsidRDefault="00DB1D87" w:rsidP="00DB1D87">
            <w:pPr>
              <w:jc w:val="center"/>
              <w:rPr>
                <w:rFonts w:eastAsia="Times New Roman"/>
                <w:b/>
                <w:bCs/>
                <w:sz w:val="22"/>
                <w:szCs w:val="22"/>
              </w:rPr>
            </w:pPr>
            <w:r w:rsidRPr="00A464CF">
              <w:rPr>
                <w:rFonts w:eastAsia="Times New Roman"/>
                <w:b/>
                <w:bCs/>
                <w:sz w:val="22"/>
                <w:szCs w:val="22"/>
              </w:rPr>
              <w:lastRenderedPageBreak/>
              <w:t>XV</w:t>
            </w:r>
          </w:p>
        </w:tc>
        <w:tc>
          <w:tcPr>
            <w:tcW w:w="14455" w:type="dxa"/>
            <w:gridSpan w:val="3"/>
            <w:shd w:val="clear" w:color="auto" w:fill="auto"/>
            <w:vAlign w:val="center"/>
            <w:hideMark/>
          </w:tcPr>
          <w:p w14:paraId="46370592" w14:textId="77777777" w:rsidR="00DB1D87" w:rsidRPr="00A464CF" w:rsidRDefault="00DB1D87" w:rsidP="00DB1D87">
            <w:pPr>
              <w:jc w:val="both"/>
              <w:rPr>
                <w:rFonts w:eastAsia="Times New Roman"/>
                <w:b/>
                <w:bCs/>
                <w:sz w:val="22"/>
                <w:szCs w:val="22"/>
              </w:rPr>
            </w:pPr>
            <w:r w:rsidRPr="00A464CF">
              <w:rPr>
                <w:rFonts w:eastAsia="Times New Roman"/>
                <w:b/>
                <w:bCs/>
                <w:sz w:val="22"/>
                <w:szCs w:val="22"/>
              </w:rPr>
              <w:t>Đổi mới mô hình tăng trưởng gắn với bảo đảm quốc phòng, an ninh</w:t>
            </w:r>
          </w:p>
        </w:tc>
      </w:tr>
      <w:tr w:rsidR="00A464CF" w:rsidRPr="00A464CF" w14:paraId="6E9EFC74" w14:textId="77777777" w:rsidTr="00AA2D1A">
        <w:trPr>
          <w:trHeight w:val="133"/>
        </w:trPr>
        <w:tc>
          <w:tcPr>
            <w:tcW w:w="708" w:type="dxa"/>
            <w:shd w:val="clear" w:color="auto" w:fill="auto"/>
            <w:vAlign w:val="center"/>
            <w:hideMark/>
          </w:tcPr>
          <w:p w14:paraId="171E6181" w14:textId="77777777" w:rsidR="00DB1D87" w:rsidRPr="00A464CF" w:rsidRDefault="00DB1D87" w:rsidP="00DB1D87">
            <w:pPr>
              <w:jc w:val="center"/>
              <w:rPr>
                <w:rFonts w:eastAsia="Times New Roman"/>
                <w:sz w:val="22"/>
                <w:szCs w:val="22"/>
              </w:rPr>
            </w:pPr>
            <w:r w:rsidRPr="00A464CF">
              <w:rPr>
                <w:rFonts w:eastAsia="Times New Roman"/>
                <w:sz w:val="22"/>
                <w:szCs w:val="22"/>
              </w:rPr>
              <w:t>1</w:t>
            </w:r>
          </w:p>
        </w:tc>
        <w:tc>
          <w:tcPr>
            <w:tcW w:w="5378" w:type="dxa"/>
            <w:shd w:val="clear" w:color="auto" w:fill="auto"/>
            <w:vAlign w:val="center"/>
            <w:hideMark/>
          </w:tcPr>
          <w:p w14:paraId="038F3EC0" w14:textId="77777777" w:rsidR="00DB1D87" w:rsidRPr="00A464CF" w:rsidRDefault="00DB1D87" w:rsidP="00DB1D87">
            <w:pPr>
              <w:jc w:val="both"/>
              <w:rPr>
                <w:rFonts w:eastAsia="Times New Roman"/>
                <w:sz w:val="22"/>
                <w:szCs w:val="22"/>
              </w:rPr>
            </w:pPr>
            <w:r w:rsidRPr="00A464CF">
              <w:rPr>
                <w:rFonts w:eastAsia="Times New Roman"/>
                <w:sz w:val="22"/>
                <w:szCs w:val="22"/>
              </w:rPr>
              <w:t>Xây dựng và thực hiện chiến lược phát triển công nghiệp quốc phòng, an ninh tiên tiến, hiện đại. Các dự án phát triển kinh tế, xã hội trong các khu vực phòng thủ, tuyến biên giới và vị trí chiến lược phải bảo đảm yêu cầu về quốc phòng, an ninh. Hoàn thiện cơ chế, chính sách đặc thù đối với doanh nghiệp quốc phòng, an ninh</w:t>
            </w:r>
          </w:p>
        </w:tc>
        <w:tc>
          <w:tcPr>
            <w:tcW w:w="7771" w:type="dxa"/>
            <w:shd w:val="clear" w:color="auto" w:fill="auto"/>
            <w:vAlign w:val="center"/>
            <w:hideMark/>
          </w:tcPr>
          <w:p w14:paraId="2966F7A9" w14:textId="538EB76F" w:rsidR="00DB1D87" w:rsidRPr="00A464CF" w:rsidRDefault="00DB1D87" w:rsidP="00DB1D87">
            <w:pPr>
              <w:jc w:val="both"/>
              <w:rPr>
                <w:rFonts w:eastAsia="Times New Roman"/>
                <w:sz w:val="22"/>
                <w:szCs w:val="22"/>
              </w:rPr>
            </w:pPr>
            <w:r w:rsidRPr="00A464CF">
              <w:rPr>
                <w:rFonts w:eastAsia="Times New Roman"/>
                <w:sz w:val="22"/>
                <w:szCs w:val="22"/>
              </w:rPr>
              <w:t>Ban Chỉ đạo Nhà nước về xây dựng và phát triển công nghiệp quốc phòng, an ninh đã xác định các định hướng và giải pháp phát triển công nghiệp quốc phòng, an ninh trong thời gian tới; trong đó, tập trung vào ứng dụng các thành tựu khoa học công nghệ tiên tiến, hiện đại, nâng cao năng lực nghiên cứu, thiết kế, chế tạo, sản xuất, sửa chữa, cải tiến, hiện đại hóa các loại vũ khí, trang bị kỹ thuật, phương tiện kỹ thuật nghiệp vụ, công cụ hỗ trợ có tính năng kỹ - chiến thuật cao. Sản phẩm công nghiệp quốc phòng an ninh phải có tính cạnh tranh, đủ điều kiện xuất khẩu, trên cơ sở làm chủ thiết kế, công nghệ và tăng tỷ lệ nội địa hóa; góp phần từng bước hiện đại hóa Quân đội nhân dân và Công an nhân dân.</w:t>
            </w:r>
          </w:p>
        </w:tc>
        <w:tc>
          <w:tcPr>
            <w:tcW w:w="1306" w:type="dxa"/>
            <w:shd w:val="clear" w:color="auto" w:fill="auto"/>
            <w:vAlign w:val="center"/>
            <w:hideMark/>
          </w:tcPr>
          <w:p w14:paraId="6E37D2CD"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55431A35" w14:textId="77777777" w:rsidTr="00AA2D1A">
        <w:trPr>
          <w:trHeight w:val="1618"/>
        </w:trPr>
        <w:tc>
          <w:tcPr>
            <w:tcW w:w="708" w:type="dxa"/>
            <w:shd w:val="clear" w:color="auto" w:fill="auto"/>
            <w:vAlign w:val="center"/>
            <w:hideMark/>
          </w:tcPr>
          <w:p w14:paraId="6447E340" w14:textId="77777777" w:rsidR="00DB1D87" w:rsidRPr="00A464CF" w:rsidRDefault="00DB1D87" w:rsidP="00DB1D87">
            <w:pPr>
              <w:jc w:val="center"/>
              <w:rPr>
                <w:rFonts w:eastAsia="Times New Roman"/>
                <w:sz w:val="22"/>
                <w:szCs w:val="22"/>
              </w:rPr>
            </w:pPr>
            <w:r w:rsidRPr="00A464CF">
              <w:rPr>
                <w:rFonts w:eastAsia="Times New Roman"/>
                <w:sz w:val="22"/>
                <w:szCs w:val="22"/>
              </w:rPr>
              <w:t>2</w:t>
            </w:r>
          </w:p>
        </w:tc>
        <w:tc>
          <w:tcPr>
            <w:tcW w:w="5378" w:type="dxa"/>
            <w:shd w:val="clear" w:color="auto" w:fill="auto"/>
            <w:vAlign w:val="center"/>
            <w:hideMark/>
          </w:tcPr>
          <w:p w14:paraId="34E60ADB" w14:textId="77777777" w:rsidR="00DB1D87" w:rsidRPr="00A464CF" w:rsidRDefault="00DB1D87" w:rsidP="00DB1D87">
            <w:pPr>
              <w:jc w:val="both"/>
              <w:rPr>
                <w:rFonts w:eastAsia="Times New Roman"/>
                <w:sz w:val="22"/>
                <w:szCs w:val="22"/>
              </w:rPr>
            </w:pPr>
            <w:r w:rsidRPr="00A464CF">
              <w:rPr>
                <w:rFonts w:eastAsia="Times New Roman"/>
                <w:sz w:val="22"/>
                <w:szCs w:val="22"/>
              </w:rPr>
              <w:t>Nghiên cứu cơ chế, chính sách để phát triển mạnh các ngành kinh tế biển, gắn với bảo vệ vững chắc chủ quyền quốc gia và nâng cao đời sống nhân dân vùng biển, đảo. Khuyến khích các thành phần kinh tế đầu tư phát triển các ngành khai thác, chế biến dầu khí; cảng biển, đóng và sửa chữa tàu biển, vận tải biển; khai thác và chế biến hải sản, các dịch vụ hậu cần nghề cá; du lịch biển, đảo. Thực hiện các chính sách hỗ trợ ngư dân phát triển khai thác (nhất là đánh bắt hải sản xa bờ) và môi trường thủy sản gắn với bảo vệ chủ quyền biển, đảo. Xây dựng cơ sở hậu cần nghề cá, tránh trú bão; tạo điều kiện và khuyến khích người dân định cư lâu dài trên các đảo</w:t>
            </w:r>
          </w:p>
        </w:tc>
        <w:tc>
          <w:tcPr>
            <w:tcW w:w="7771" w:type="dxa"/>
            <w:shd w:val="clear" w:color="auto" w:fill="auto"/>
            <w:vAlign w:val="center"/>
            <w:hideMark/>
          </w:tcPr>
          <w:p w14:paraId="783B5004" w14:textId="77777777" w:rsidR="00DB1D87" w:rsidRPr="00A464CF" w:rsidRDefault="00DB1D87" w:rsidP="00DB1D87">
            <w:pPr>
              <w:jc w:val="both"/>
              <w:rPr>
                <w:rFonts w:eastAsia="Times New Roman"/>
                <w:sz w:val="22"/>
                <w:szCs w:val="22"/>
              </w:rPr>
            </w:pPr>
            <w:r w:rsidRPr="00A464CF">
              <w:rPr>
                <w:rFonts w:eastAsia="Times New Roman"/>
                <w:sz w:val="22"/>
                <w:szCs w:val="22"/>
              </w:rPr>
              <w:t>Đánh bắt hải sản xa bờ kết hợp ứng dụng các phương thức ngư cụ đánh bắt tiên tiến; dịch vụ hậu cần nghề cá; xây dựng cơ sở đóng tàu cá và đóng tàu cá được hưởng các chính sách đặc biệt ưu đãi đầu tư. Tuy nhiên, chất lượng của các chính sách hỗ trợ nhìn chung chưa cao. Hiện nay, Bộ Kế hoạch và Đầu tư đang phối hợp với Bộ Nông nghiệp và Phát triển nông thôn và các Bộ, cơ quan liên quan sửa đổi Nghị định 67/2014/NĐ-CP ngày 7/7/2014 của Chính phủ về nâng cấp tàu cá.</w:t>
            </w:r>
          </w:p>
        </w:tc>
        <w:tc>
          <w:tcPr>
            <w:tcW w:w="1306" w:type="dxa"/>
            <w:shd w:val="clear" w:color="auto" w:fill="auto"/>
            <w:vAlign w:val="center"/>
            <w:hideMark/>
          </w:tcPr>
          <w:p w14:paraId="1679AF34" w14:textId="77777777" w:rsidR="00DB1D87" w:rsidRPr="00A464CF" w:rsidRDefault="00DB1D87" w:rsidP="00DB1D87">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1840A7BB" w14:textId="77777777" w:rsidTr="00AA2D1A">
        <w:trPr>
          <w:trHeight w:val="60"/>
        </w:trPr>
        <w:tc>
          <w:tcPr>
            <w:tcW w:w="708" w:type="dxa"/>
            <w:shd w:val="clear" w:color="auto" w:fill="auto"/>
            <w:noWrap/>
            <w:vAlign w:val="center"/>
            <w:hideMark/>
          </w:tcPr>
          <w:p w14:paraId="0A514590" w14:textId="77777777" w:rsidR="00DB1D87" w:rsidRPr="00A464CF" w:rsidRDefault="00DB1D87" w:rsidP="00DB1D87">
            <w:pPr>
              <w:jc w:val="center"/>
              <w:rPr>
                <w:rFonts w:eastAsia="Times New Roman"/>
                <w:sz w:val="22"/>
                <w:szCs w:val="22"/>
              </w:rPr>
            </w:pPr>
            <w:r w:rsidRPr="00A464CF">
              <w:rPr>
                <w:rFonts w:eastAsia="Times New Roman"/>
                <w:sz w:val="22"/>
                <w:szCs w:val="22"/>
              </w:rPr>
              <w:t>3</w:t>
            </w:r>
          </w:p>
        </w:tc>
        <w:tc>
          <w:tcPr>
            <w:tcW w:w="5378" w:type="dxa"/>
            <w:shd w:val="clear" w:color="auto" w:fill="auto"/>
            <w:vAlign w:val="center"/>
            <w:hideMark/>
          </w:tcPr>
          <w:p w14:paraId="6AE664C6" w14:textId="77777777" w:rsidR="00DB1D87" w:rsidRPr="00A464CF" w:rsidRDefault="00DB1D87" w:rsidP="00DB1D87">
            <w:pPr>
              <w:jc w:val="both"/>
              <w:rPr>
                <w:rFonts w:eastAsia="Times New Roman"/>
                <w:sz w:val="22"/>
                <w:szCs w:val="22"/>
              </w:rPr>
            </w:pPr>
            <w:r w:rsidRPr="00A464CF">
              <w:rPr>
                <w:rFonts w:eastAsia="Times New Roman"/>
                <w:sz w:val="22"/>
                <w:szCs w:val="22"/>
              </w:rPr>
              <w:t>Xác định cụ thể các khu vực cần đảm bảo an ninh, quốc phòng tại từng địa phương, làm cơ sở cho các địa phương triển khai các dự án phát triển kinh tế - xã hội đảm bảo an ninh, quốc phòng</w:t>
            </w:r>
          </w:p>
        </w:tc>
        <w:tc>
          <w:tcPr>
            <w:tcW w:w="7771" w:type="dxa"/>
            <w:shd w:val="clear" w:color="auto" w:fill="auto"/>
            <w:vAlign w:val="center"/>
            <w:hideMark/>
          </w:tcPr>
          <w:p w14:paraId="23B4FA5D" w14:textId="77777777" w:rsidR="00DB1D87" w:rsidRPr="00A464CF" w:rsidRDefault="00DB1D87" w:rsidP="00DB1D87">
            <w:pPr>
              <w:jc w:val="both"/>
              <w:rPr>
                <w:rFonts w:eastAsia="Times New Roman"/>
                <w:sz w:val="22"/>
                <w:szCs w:val="22"/>
              </w:rPr>
            </w:pPr>
            <w:r w:rsidRPr="00A464CF">
              <w:rPr>
                <w:rFonts w:eastAsia="Times New Roman"/>
                <w:sz w:val="22"/>
                <w:szCs w:val="22"/>
              </w:rPr>
              <w:t xml:space="preserve">Bộ Công an đã tập trung triển khai các phương án, kế hoạch bảo vệ an ninh kinh tế, tập trung vào các lĩnh vực kinh tế trọng điểm như cổ phần hóa doanh nghiệp, đầu tư, ngân hàng,… Xây dựng và triển khai thực hiện Đề án công tác công an đảm bảo an ninh kinh tế trong điều kiện hội nhập quốc tế sâu rộng. Tăng cường nắm bắt tình hình, cung cấp thông tin phục vụ các bộ, ngành, địa phương, doanh nghiệp lựa chọn đối tác nước ngoài có năng lực tài chính, công nghệ tiên tiến vào Việt Nam đầu tư. Phối hợp với các Bộ, ngành liên quan tham gia thẩm định các dự án phát triển kinh tế, xã hội </w:t>
            </w:r>
            <w:r w:rsidRPr="00A464CF">
              <w:rPr>
                <w:rFonts w:eastAsia="Times New Roman"/>
                <w:sz w:val="22"/>
                <w:szCs w:val="22"/>
              </w:rPr>
              <w:lastRenderedPageBreak/>
              <w:t>trong các khu vực phòng thủ, tuyến biên giới và cá vị trí chiến lược phải bảo đảm yêu cầu về quốc phòng, an ninh.</w:t>
            </w:r>
            <w:r w:rsidRPr="00A464CF">
              <w:rPr>
                <w:rFonts w:eastAsia="Times New Roman"/>
                <w:sz w:val="22"/>
                <w:szCs w:val="22"/>
              </w:rPr>
              <w:br w:type="page"/>
            </w:r>
            <w:r w:rsidRPr="00A464CF">
              <w:rPr>
                <w:rFonts w:eastAsia="Times New Roman"/>
                <w:sz w:val="22"/>
                <w:szCs w:val="22"/>
              </w:rPr>
              <w:br w:type="page"/>
              <w:t>Bộ Quốc phòng và các Ban chỉ huy quân sự tiếp tục phối hợp với các Bộ, ngành, địa phương trong quá trình xem xét, đánh giá dự án kinh tế có liên quan đến quốc phòng an ninh, đảm bảo kết hợp hài hòa giữa phát triển kinh tế và đảm bảo quốc phòng an ninh.</w:t>
            </w:r>
          </w:p>
        </w:tc>
        <w:tc>
          <w:tcPr>
            <w:tcW w:w="1306" w:type="dxa"/>
            <w:shd w:val="clear" w:color="auto" w:fill="auto"/>
            <w:vAlign w:val="center"/>
            <w:hideMark/>
          </w:tcPr>
          <w:p w14:paraId="70F59421" w14:textId="77777777" w:rsidR="00DB1D87" w:rsidRPr="00A464CF" w:rsidRDefault="00DB1D87" w:rsidP="00DB1D87">
            <w:pPr>
              <w:rPr>
                <w:rFonts w:eastAsia="Times New Roman"/>
                <w:sz w:val="22"/>
                <w:szCs w:val="22"/>
              </w:rPr>
            </w:pPr>
            <w:r w:rsidRPr="00A464CF">
              <w:rPr>
                <w:rFonts w:eastAsia="Times New Roman"/>
                <w:sz w:val="22"/>
                <w:szCs w:val="22"/>
              </w:rPr>
              <w:lastRenderedPageBreak/>
              <w:t>Đã triển khai và có kết quả bước đầu</w:t>
            </w:r>
          </w:p>
        </w:tc>
      </w:tr>
      <w:tr w:rsidR="00A464CF" w:rsidRPr="00A464CF" w14:paraId="342E6F35" w14:textId="77777777" w:rsidTr="00AA2D1A">
        <w:trPr>
          <w:trHeight w:val="405"/>
        </w:trPr>
        <w:tc>
          <w:tcPr>
            <w:tcW w:w="708" w:type="dxa"/>
            <w:shd w:val="clear" w:color="auto" w:fill="auto"/>
            <w:noWrap/>
            <w:vAlign w:val="center"/>
            <w:hideMark/>
          </w:tcPr>
          <w:p w14:paraId="036F8096" w14:textId="77777777" w:rsidR="00DB1D87" w:rsidRPr="00A464CF" w:rsidRDefault="00DB1D87" w:rsidP="00DB1D87">
            <w:pPr>
              <w:jc w:val="center"/>
              <w:rPr>
                <w:rFonts w:eastAsia="Times New Roman"/>
                <w:b/>
                <w:bCs/>
                <w:sz w:val="22"/>
                <w:szCs w:val="22"/>
              </w:rPr>
            </w:pPr>
            <w:r w:rsidRPr="00A464CF">
              <w:rPr>
                <w:rFonts w:eastAsia="Times New Roman"/>
                <w:b/>
                <w:bCs/>
                <w:sz w:val="22"/>
                <w:szCs w:val="22"/>
              </w:rPr>
              <w:lastRenderedPageBreak/>
              <w:t>XVI</w:t>
            </w:r>
          </w:p>
        </w:tc>
        <w:tc>
          <w:tcPr>
            <w:tcW w:w="14455" w:type="dxa"/>
            <w:gridSpan w:val="3"/>
            <w:shd w:val="clear" w:color="auto" w:fill="auto"/>
            <w:vAlign w:val="center"/>
            <w:hideMark/>
          </w:tcPr>
          <w:p w14:paraId="67A4B130" w14:textId="59C0D0BE" w:rsidR="00DB1D87" w:rsidRPr="00A464CF" w:rsidRDefault="00DB1D87" w:rsidP="00DB1D87">
            <w:pPr>
              <w:rPr>
                <w:rFonts w:eastAsia="Times New Roman"/>
                <w:b/>
                <w:bCs/>
                <w:sz w:val="22"/>
                <w:szCs w:val="22"/>
              </w:rPr>
            </w:pPr>
            <w:r w:rsidRPr="00A464CF">
              <w:rPr>
                <w:rFonts w:eastAsia="Times New Roman"/>
                <w:b/>
                <w:bCs/>
                <w:sz w:val="22"/>
                <w:szCs w:val="22"/>
              </w:rPr>
              <w:t>Đổi mới phương thức, nâng cao năng lực, hiệu lực và hiệu quả quản lý Nhà nước</w:t>
            </w:r>
          </w:p>
        </w:tc>
      </w:tr>
      <w:tr w:rsidR="00A464CF" w:rsidRPr="00A464CF" w14:paraId="5448A0D8" w14:textId="77777777" w:rsidTr="00AA2D1A">
        <w:trPr>
          <w:trHeight w:val="1950"/>
        </w:trPr>
        <w:tc>
          <w:tcPr>
            <w:tcW w:w="708" w:type="dxa"/>
            <w:shd w:val="clear" w:color="auto" w:fill="auto"/>
            <w:vAlign w:val="center"/>
            <w:hideMark/>
          </w:tcPr>
          <w:p w14:paraId="34DC35FF" w14:textId="39405815" w:rsidR="000E36B8" w:rsidRPr="00A464CF" w:rsidRDefault="000E36B8" w:rsidP="000E36B8">
            <w:pPr>
              <w:jc w:val="center"/>
              <w:rPr>
                <w:rFonts w:eastAsia="Times New Roman"/>
                <w:sz w:val="22"/>
                <w:szCs w:val="22"/>
              </w:rPr>
            </w:pPr>
            <w:r w:rsidRPr="00A464CF">
              <w:rPr>
                <w:rFonts w:eastAsia="Times New Roman"/>
                <w:sz w:val="22"/>
                <w:szCs w:val="22"/>
              </w:rPr>
              <w:t>1</w:t>
            </w:r>
          </w:p>
        </w:tc>
        <w:tc>
          <w:tcPr>
            <w:tcW w:w="5378" w:type="dxa"/>
            <w:shd w:val="clear" w:color="auto" w:fill="auto"/>
            <w:vAlign w:val="bottom"/>
          </w:tcPr>
          <w:p w14:paraId="7F1056A4" w14:textId="65F268E1" w:rsidR="000E36B8" w:rsidRPr="00A464CF" w:rsidRDefault="000E36B8" w:rsidP="000E36B8">
            <w:pPr>
              <w:jc w:val="both"/>
              <w:rPr>
                <w:rFonts w:eastAsia="Times New Roman"/>
                <w:sz w:val="22"/>
                <w:szCs w:val="22"/>
              </w:rPr>
            </w:pPr>
            <w:r w:rsidRPr="00A464CF">
              <w:rPr>
                <w:rFonts w:eastAsia="Times New Roman"/>
                <w:sz w:val="22"/>
                <w:szCs w:val="22"/>
              </w:rPr>
              <w:t>Tiếp tục thực hiện nghiêm quy định về tinh giản biên chế gắn với cải cách tiền lương; đổi mới mạnh mẽ quy trình, phương thức tổ chức tuyển dụng, sử dụng, trả lương, đánh giá, đề bạt cán bộ; thực hiện bổ nhiệm, đề bạt cán bộ chủ yếu dựa trên thành tích, kết quả công việc; tăng cường trách nhiệm giải trình của người đứng đầu đối với cán bộ, công chức thuộc quyền quản lý và kết quả thực hiện nhiệm vụ được giao của đơn vị</w:t>
            </w:r>
          </w:p>
        </w:tc>
        <w:tc>
          <w:tcPr>
            <w:tcW w:w="7771" w:type="dxa"/>
            <w:shd w:val="clear" w:color="auto" w:fill="auto"/>
            <w:vAlign w:val="center"/>
          </w:tcPr>
          <w:p w14:paraId="30D8DE12" w14:textId="372C1216" w:rsidR="000E36B8" w:rsidRPr="00A464CF" w:rsidRDefault="000E36B8" w:rsidP="009477E9">
            <w:pPr>
              <w:jc w:val="both"/>
              <w:rPr>
                <w:rFonts w:eastAsia="Times New Roman"/>
                <w:sz w:val="22"/>
                <w:szCs w:val="22"/>
              </w:rPr>
            </w:pPr>
            <w:r w:rsidRPr="00A464CF">
              <w:rPr>
                <w:rFonts w:eastAsia="Times New Roman"/>
                <w:sz w:val="22"/>
                <w:szCs w:val="22"/>
              </w:rPr>
              <w:t xml:space="preserve">Việc tinh giảm biên chế tiếp tục được thực hiện. Bộ Nội vụ đang xây dựng dự thảo Nghị định sửa đổi, bổ sung một số quy định về cán bộ, công chức và người hoạt động không chuyên trách ở xã, phường, thị trấn, với mục tiêu giảm hàng nghìn biên chế của nhóm cán bộ, công chức, người lao động này. </w:t>
            </w:r>
          </w:p>
        </w:tc>
        <w:tc>
          <w:tcPr>
            <w:tcW w:w="1306" w:type="dxa"/>
            <w:shd w:val="clear" w:color="auto" w:fill="auto"/>
            <w:vAlign w:val="center"/>
          </w:tcPr>
          <w:p w14:paraId="0ACC2232" w14:textId="15D546DF" w:rsidR="000E36B8" w:rsidRPr="00A464CF" w:rsidRDefault="000E36B8" w:rsidP="009477E9">
            <w:pPr>
              <w:rPr>
                <w:rFonts w:eastAsia="Times New Roman"/>
                <w:sz w:val="22"/>
                <w:szCs w:val="22"/>
              </w:rPr>
            </w:pPr>
            <w:r w:rsidRPr="00A464CF">
              <w:rPr>
                <w:rFonts w:eastAsia="Times New Roman"/>
                <w:sz w:val="22"/>
                <w:szCs w:val="22"/>
              </w:rPr>
              <w:t xml:space="preserve">Đã triển khai </w:t>
            </w:r>
            <w:r w:rsidR="009477E9" w:rsidRPr="00A464CF">
              <w:rPr>
                <w:rFonts w:eastAsia="Times New Roman"/>
                <w:sz w:val="22"/>
                <w:szCs w:val="22"/>
              </w:rPr>
              <w:t>và có kết quả bước đầu</w:t>
            </w:r>
          </w:p>
        </w:tc>
      </w:tr>
      <w:tr w:rsidR="00A464CF" w:rsidRPr="00A464CF" w14:paraId="6A90C8EF" w14:textId="77777777" w:rsidTr="00AA2D1A">
        <w:trPr>
          <w:trHeight w:val="1950"/>
        </w:trPr>
        <w:tc>
          <w:tcPr>
            <w:tcW w:w="708" w:type="dxa"/>
            <w:shd w:val="clear" w:color="auto" w:fill="auto"/>
            <w:vAlign w:val="center"/>
          </w:tcPr>
          <w:p w14:paraId="54078B28" w14:textId="161F87EF" w:rsidR="000E36B8" w:rsidRPr="00A464CF" w:rsidRDefault="000E36B8" w:rsidP="000E36B8">
            <w:pPr>
              <w:jc w:val="center"/>
              <w:rPr>
                <w:rFonts w:eastAsia="Times New Roman"/>
                <w:sz w:val="22"/>
                <w:szCs w:val="22"/>
              </w:rPr>
            </w:pPr>
            <w:r w:rsidRPr="00A464CF">
              <w:rPr>
                <w:rFonts w:eastAsia="Times New Roman"/>
                <w:sz w:val="22"/>
                <w:szCs w:val="22"/>
              </w:rPr>
              <w:t>2</w:t>
            </w:r>
          </w:p>
        </w:tc>
        <w:tc>
          <w:tcPr>
            <w:tcW w:w="5378" w:type="dxa"/>
            <w:shd w:val="clear" w:color="auto" w:fill="auto"/>
            <w:vAlign w:val="bottom"/>
          </w:tcPr>
          <w:p w14:paraId="40725785" w14:textId="580A8EBE" w:rsidR="000E36B8" w:rsidRPr="00A464CF" w:rsidRDefault="000E36B8" w:rsidP="000E36B8">
            <w:pPr>
              <w:jc w:val="both"/>
              <w:rPr>
                <w:rFonts w:eastAsia="Times New Roman"/>
                <w:sz w:val="22"/>
                <w:szCs w:val="22"/>
              </w:rPr>
            </w:pPr>
            <w:r w:rsidRPr="00A464CF">
              <w:rPr>
                <w:rFonts w:eastAsia="Times New Roman"/>
                <w:sz w:val="22"/>
                <w:szCs w:val="22"/>
              </w:rPr>
              <w:t>Nghiên cứu đổi mới cơ cấu tổ chức bộ máy, chức năng nhiệm vụ của các bộ, ngành, địa phương theo hướng phù hợp với phương thức quản lý, xây dựng Nhà nước quản lý và phục vụ.</w:t>
            </w:r>
          </w:p>
        </w:tc>
        <w:tc>
          <w:tcPr>
            <w:tcW w:w="7771" w:type="dxa"/>
            <w:shd w:val="clear" w:color="auto" w:fill="auto"/>
            <w:vAlign w:val="center"/>
          </w:tcPr>
          <w:p w14:paraId="7D9468EC" w14:textId="2812EE2F" w:rsidR="000E36B8" w:rsidRPr="00A464CF" w:rsidRDefault="000E36B8" w:rsidP="000E36B8">
            <w:pPr>
              <w:jc w:val="both"/>
              <w:rPr>
                <w:rFonts w:eastAsia="Times New Roman"/>
                <w:sz w:val="22"/>
                <w:szCs w:val="22"/>
              </w:rPr>
            </w:pPr>
            <w:r w:rsidRPr="00A464CF">
              <w:rPr>
                <w:rFonts w:eastAsia="Times New Roman"/>
                <w:sz w:val="22"/>
                <w:szCs w:val="22"/>
              </w:rPr>
              <w:t>Các bộ, cơ quan ngang bộ, cơ quan thuộc Chính phủ xây dựng Nghị định quy định chức năng, nhiệm vụ, quyền hạn và cơ cấu tổ chức của các bộ, cơ quan ngang bộ theo kế hoạch. Đến nay, Chính phủ đã ban hành 21 nghị định (trong đó 19 nghị định của các bộ, cơ quan ngang bộ; 02 nghị định của cơ quan thuộc Chính phủ). Tuy nhiên,việc đổi mới tổ chức hoạt động, chức năng, nhiệm vụ của chính quyền địa phương còn hạn chế. Nhiều cơ quan hành chính chưa có các bản mô tả công việc để xác định chức danh, tiêu chuẩn, yêu cầu đối với từng vị trí nên số lượng tuyển dụng vẫn dựa vào số chỉ tiêu biên chế được giao; nội dung thi tuyển, cách thức ra để thi, hình thức thi vẫn chứa phù hợp và còn mang tính hình thức</w:t>
            </w:r>
          </w:p>
        </w:tc>
        <w:tc>
          <w:tcPr>
            <w:tcW w:w="1306" w:type="dxa"/>
            <w:shd w:val="clear" w:color="auto" w:fill="auto"/>
            <w:vAlign w:val="center"/>
          </w:tcPr>
          <w:p w14:paraId="418A1D3F" w14:textId="79485A3C" w:rsidR="000E36B8" w:rsidRPr="00A464CF" w:rsidRDefault="000E36B8" w:rsidP="000E36B8">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434D6E92" w14:textId="77777777" w:rsidTr="00AA2D1A">
        <w:trPr>
          <w:trHeight w:val="60"/>
        </w:trPr>
        <w:tc>
          <w:tcPr>
            <w:tcW w:w="708" w:type="dxa"/>
            <w:shd w:val="clear" w:color="auto" w:fill="auto"/>
            <w:noWrap/>
            <w:vAlign w:val="center"/>
            <w:hideMark/>
          </w:tcPr>
          <w:p w14:paraId="014F5FA8" w14:textId="77777777" w:rsidR="000E36B8" w:rsidRPr="00A464CF" w:rsidRDefault="000E36B8" w:rsidP="000E36B8">
            <w:pPr>
              <w:jc w:val="center"/>
              <w:rPr>
                <w:rFonts w:eastAsia="Times New Roman"/>
                <w:sz w:val="22"/>
                <w:szCs w:val="22"/>
              </w:rPr>
            </w:pPr>
            <w:r w:rsidRPr="00A464CF">
              <w:rPr>
                <w:rFonts w:eastAsia="Times New Roman"/>
                <w:sz w:val="22"/>
                <w:szCs w:val="22"/>
              </w:rPr>
              <w:t>3</w:t>
            </w:r>
          </w:p>
        </w:tc>
        <w:tc>
          <w:tcPr>
            <w:tcW w:w="5378" w:type="dxa"/>
            <w:shd w:val="clear" w:color="auto" w:fill="auto"/>
            <w:vAlign w:val="center"/>
            <w:hideMark/>
          </w:tcPr>
          <w:p w14:paraId="5D1553B2" w14:textId="411F094B" w:rsidR="000E36B8" w:rsidRPr="00A464CF" w:rsidRDefault="000E36B8" w:rsidP="000E36B8">
            <w:pPr>
              <w:jc w:val="both"/>
              <w:rPr>
                <w:rFonts w:eastAsia="Times New Roman"/>
                <w:sz w:val="22"/>
                <w:szCs w:val="22"/>
              </w:rPr>
            </w:pPr>
            <w:r w:rsidRPr="00A464CF">
              <w:rPr>
                <w:rFonts w:eastAsia="Times New Roman"/>
                <w:sz w:val="22"/>
                <w:szCs w:val="22"/>
              </w:rPr>
              <w:t>Tăng cường ứng dụng công nghệ thông tin, thực hiện điện tử hóa nghiệp vụ quản lý nhà nước và xã hội hóa việc xây dựng các dữ liệu thông tin quản lý Nhà nước</w:t>
            </w:r>
          </w:p>
        </w:tc>
        <w:tc>
          <w:tcPr>
            <w:tcW w:w="7771" w:type="dxa"/>
            <w:shd w:val="clear" w:color="auto" w:fill="auto"/>
            <w:vAlign w:val="center"/>
            <w:hideMark/>
          </w:tcPr>
          <w:p w14:paraId="1638BF31" w14:textId="77777777" w:rsidR="000E36B8" w:rsidRPr="00A464CF" w:rsidRDefault="000E36B8" w:rsidP="000E36B8">
            <w:pPr>
              <w:jc w:val="both"/>
              <w:rPr>
                <w:rFonts w:eastAsia="Times New Roman"/>
                <w:sz w:val="22"/>
                <w:szCs w:val="22"/>
              </w:rPr>
            </w:pPr>
            <w:r w:rsidRPr="00A464CF">
              <w:rPr>
                <w:rFonts w:eastAsia="Times New Roman"/>
                <w:sz w:val="22"/>
                <w:szCs w:val="22"/>
              </w:rPr>
              <w:t>Các bộ, ngành, địa phương đã tích cực triển khai xây dựng chính quyền điện tử; năm 2016, Chỉ số phát triển Chính phủ điện tử của Việt Nam xếp hạng thứ 89/193</w:t>
            </w:r>
          </w:p>
        </w:tc>
        <w:tc>
          <w:tcPr>
            <w:tcW w:w="1306" w:type="dxa"/>
            <w:shd w:val="clear" w:color="auto" w:fill="auto"/>
            <w:vAlign w:val="center"/>
            <w:hideMark/>
          </w:tcPr>
          <w:p w14:paraId="1A0B6C7B" w14:textId="77777777" w:rsidR="000E36B8" w:rsidRPr="00A464CF" w:rsidRDefault="000E36B8" w:rsidP="000E36B8">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557B799F" w14:textId="77777777" w:rsidTr="00AA2D1A">
        <w:trPr>
          <w:trHeight w:val="60"/>
        </w:trPr>
        <w:tc>
          <w:tcPr>
            <w:tcW w:w="708" w:type="dxa"/>
            <w:shd w:val="clear" w:color="auto" w:fill="auto"/>
            <w:noWrap/>
            <w:vAlign w:val="center"/>
            <w:hideMark/>
          </w:tcPr>
          <w:p w14:paraId="0C97A03F" w14:textId="77777777" w:rsidR="000E36B8" w:rsidRPr="00A464CF" w:rsidRDefault="000E36B8" w:rsidP="000E36B8">
            <w:pPr>
              <w:jc w:val="center"/>
              <w:rPr>
                <w:rFonts w:eastAsia="Times New Roman"/>
                <w:sz w:val="22"/>
                <w:szCs w:val="22"/>
              </w:rPr>
            </w:pPr>
            <w:r w:rsidRPr="00A464CF">
              <w:rPr>
                <w:rFonts w:eastAsia="Times New Roman"/>
                <w:sz w:val="22"/>
                <w:szCs w:val="22"/>
              </w:rPr>
              <w:t>4</w:t>
            </w:r>
          </w:p>
        </w:tc>
        <w:tc>
          <w:tcPr>
            <w:tcW w:w="5378" w:type="dxa"/>
            <w:shd w:val="clear" w:color="auto" w:fill="auto"/>
            <w:vAlign w:val="center"/>
            <w:hideMark/>
          </w:tcPr>
          <w:p w14:paraId="2FEB561F" w14:textId="748EECAD" w:rsidR="000E36B8" w:rsidRPr="00A464CF" w:rsidRDefault="000E36B8" w:rsidP="000E36B8">
            <w:pPr>
              <w:jc w:val="both"/>
              <w:rPr>
                <w:rFonts w:eastAsia="Times New Roman"/>
                <w:sz w:val="22"/>
                <w:szCs w:val="22"/>
              </w:rPr>
            </w:pPr>
            <w:r w:rsidRPr="00A464CF">
              <w:rPr>
                <w:rFonts w:eastAsia="Times New Roman"/>
                <w:sz w:val="22"/>
                <w:szCs w:val="22"/>
              </w:rPr>
              <w:t>Xây dựng bộ máy Nhà nước tinh gọn, liêm chính, thông suốt, hiệu lực, hiệu quả. Tăng cường kỷ luật, kỷ cương của các cơ quan Nhà nước và người đứng đầu.</w:t>
            </w:r>
          </w:p>
        </w:tc>
        <w:tc>
          <w:tcPr>
            <w:tcW w:w="7771" w:type="dxa"/>
            <w:shd w:val="clear" w:color="auto" w:fill="auto"/>
            <w:vAlign w:val="center"/>
            <w:hideMark/>
          </w:tcPr>
          <w:p w14:paraId="7253B6CE" w14:textId="45830917" w:rsidR="000E36B8" w:rsidRPr="00A464CF" w:rsidRDefault="000E36B8" w:rsidP="000E36B8">
            <w:pPr>
              <w:jc w:val="both"/>
              <w:rPr>
                <w:rFonts w:eastAsia="Times New Roman"/>
                <w:sz w:val="22"/>
                <w:szCs w:val="22"/>
              </w:rPr>
            </w:pPr>
            <w:r w:rsidRPr="00A464CF">
              <w:rPr>
                <w:rFonts w:eastAsia="Times New Roman"/>
                <w:sz w:val="22"/>
                <w:szCs w:val="22"/>
              </w:rPr>
              <w:t>Bộ Nội vụ đã phối hợp với các Bộ, ngành hoàn thiện quy định về chức năng, nhiệm vụ của Bộ, ngành. Bộ tiếp tục tham mưu, trình Thủ tướng Chính phủ đã ký 08 quyết định ban hành danh mục sự nghiệp công sử dụng ngân sách Nhà nước của các bộ, ngành Trung ương, trong đó, có 04 quyết định được ban hành trong 6 tháng đầu năm 2017 thuộc các lĩnh vực: Giáo dục và đào tạo, thông tin và truyền thông, công thương, lĩnh vực sự nghiệp kinh tế và sự nghiệp khác của Bộ Nông nghiệp và Phát triển nông thôn. Tuy nhiên, như đã trình bày ở trên, kỷ luật, kỷ cương ở cơ quan quản lý nhà nước ở cấp cơ sở, tình trạng vượt số cấp phó theo quy định tại một số cơ quan Nhà nước vẫn còn tồn tại.</w:t>
            </w:r>
          </w:p>
        </w:tc>
        <w:tc>
          <w:tcPr>
            <w:tcW w:w="1306" w:type="dxa"/>
            <w:shd w:val="clear" w:color="auto" w:fill="auto"/>
            <w:vAlign w:val="center"/>
            <w:hideMark/>
          </w:tcPr>
          <w:p w14:paraId="1098EAFC" w14:textId="77777777" w:rsidR="000E36B8" w:rsidRPr="00A464CF" w:rsidRDefault="000E36B8" w:rsidP="000E36B8">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271AC893" w14:textId="77777777" w:rsidTr="00AA2D1A">
        <w:trPr>
          <w:trHeight w:val="60"/>
        </w:trPr>
        <w:tc>
          <w:tcPr>
            <w:tcW w:w="708" w:type="dxa"/>
            <w:shd w:val="clear" w:color="auto" w:fill="auto"/>
            <w:noWrap/>
            <w:vAlign w:val="center"/>
            <w:hideMark/>
          </w:tcPr>
          <w:p w14:paraId="7CF5ABD0" w14:textId="77777777" w:rsidR="000E36B8" w:rsidRPr="00A464CF" w:rsidRDefault="000E36B8" w:rsidP="000E36B8">
            <w:pPr>
              <w:jc w:val="center"/>
              <w:rPr>
                <w:rFonts w:eastAsia="Times New Roman"/>
                <w:sz w:val="22"/>
                <w:szCs w:val="22"/>
              </w:rPr>
            </w:pPr>
            <w:r w:rsidRPr="00A464CF">
              <w:rPr>
                <w:rFonts w:eastAsia="Times New Roman"/>
                <w:sz w:val="22"/>
                <w:szCs w:val="22"/>
              </w:rPr>
              <w:lastRenderedPageBreak/>
              <w:t>5</w:t>
            </w:r>
          </w:p>
        </w:tc>
        <w:tc>
          <w:tcPr>
            <w:tcW w:w="5378" w:type="dxa"/>
            <w:shd w:val="clear" w:color="auto" w:fill="auto"/>
            <w:vAlign w:val="center"/>
            <w:hideMark/>
          </w:tcPr>
          <w:p w14:paraId="77CD4FB5" w14:textId="77777777" w:rsidR="000E36B8" w:rsidRPr="00A464CF" w:rsidRDefault="000E36B8" w:rsidP="000E36B8">
            <w:pPr>
              <w:jc w:val="both"/>
              <w:rPr>
                <w:rFonts w:eastAsia="Times New Roman"/>
                <w:sz w:val="22"/>
                <w:szCs w:val="22"/>
              </w:rPr>
            </w:pPr>
            <w:r w:rsidRPr="00A464CF">
              <w:rPr>
                <w:rFonts w:eastAsia="Times New Roman"/>
                <w:sz w:val="22"/>
                <w:szCs w:val="22"/>
              </w:rPr>
              <w:t>Tiếp tục cải cách thể chế; xây dựng, nâng cao chất lượng đội ngũ cán bộ, công chức, viên chức, chú trọng cải cách chính sách tiền lương nhằm tạo động lực thực sự để cán bộ, công chức, viên chức thực thi công vụ có chất lượng và hiệu quả cao; nâng cao chất lượng dịch vụ hành chính và chất lượng dịch vụ công</w:t>
            </w:r>
          </w:p>
        </w:tc>
        <w:tc>
          <w:tcPr>
            <w:tcW w:w="7771" w:type="dxa"/>
            <w:shd w:val="clear" w:color="auto" w:fill="auto"/>
            <w:vAlign w:val="center"/>
            <w:hideMark/>
          </w:tcPr>
          <w:p w14:paraId="1A77CA6B" w14:textId="50F97DD9" w:rsidR="000E36B8" w:rsidRPr="00A464CF" w:rsidRDefault="000E36B8" w:rsidP="000E36B8">
            <w:pPr>
              <w:jc w:val="both"/>
              <w:rPr>
                <w:rFonts w:eastAsia="Times New Roman"/>
                <w:sz w:val="22"/>
                <w:szCs w:val="22"/>
              </w:rPr>
            </w:pPr>
            <w:r w:rsidRPr="00A464CF">
              <w:rPr>
                <w:rFonts w:eastAsia="Times New Roman"/>
                <w:sz w:val="22"/>
                <w:szCs w:val="22"/>
              </w:rPr>
              <w:t>Các Bộ, ngành đã phối hợp với Bộ Nội vụ thực hiện cải cách tiền lương cho người lao động trong khu vực Nhà nước. Mức lương cơ sở đã từng bước được nâng lên, góp phần đảm bảo hơn cuộc sống cho người lao động. Tuy nhiên, vấn đề cải cách tiền lương vẫn tồn tại nhiều hạn chế. Hệ thống thang bản lương còn phức tạp, không phản ánh đúng giá trị lao động của người công chức, chưa gắn với hiệu quả công việc của công chức</w:t>
            </w:r>
          </w:p>
        </w:tc>
        <w:tc>
          <w:tcPr>
            <w:tcW w:w="1306" w:type="dxa"/>
            <w:shd w:val="clear" w:color="auto" w:fill="auto"/>
            <w:vAlign w:val="center"/>
            <w:hideMark/>
          </w:tcPr>
          <w:p w14:paraId="009D217F" w14:textId="77777777" w:rsidR="000E36B8" w:rsidRPr="00A464CF" w:rsidRDefault="000E36B8" w:rsidP="000E36B8">
            <w:pPr>
              <w:rPr>
                <w:rFonts w:eastAsia="Times New Roman"/>
                <w:sz w:val="22"/>
                <w:szCs w:val="22"/>
              </w:rPr>
            </w:pPr>
            <w:r w:rsidRPr="00A464CF">
              <w:rPr>
                <w:rFonts w:eastAsia="Times New Roman"/>
                <w:sz w:val="22"/>
                <w:szCs w:val="22"/>
              </w:rPr>
              <w:t>Đã triển khai và có kết quả bước đầu</w:t>
            </w:r>
          </w:p>
        </w:tc>
      </w:tr>
      <w:tr w:rsidR="00A464CF" w:rsidRPr="00A464CF" w14:paraId="4896B79A" w14:textId="77777777" w:rsidTr="00AA2D1A">
        <w:trPr>
          <w:trHeight w:val="474"/>
        </w:trPr>
        <w:tc>
          <w:tcPr>
            <w:tcW w:w="708" w:type="dxa"/>
            <w:shd w:val="clear" w:color="auto" w:fill="auto"/>
            <w:noWrap/>
            <w:vAlign w:val="center"/>
            <w:hideMark/>
          </w:tcPr>
          <w:p w14:paraId="498D7529" w14:textId="77777777" w:rsidR="000E36B8" w:rsidRPr="00A464CF" w:rsidRDefault="000E36B8" w:rsidP="000E36B8">
            <w:pPr>
              <w:jc w:val="center"/>
              <w:rPr>
                <w:rFonts w:eastAsia="Times New Roman"/>
                <w:sz w:val="22"/>
                <w:szCs w:val="22"/>
              </w:rPr>
            </w:pPr>
            <w:r w:rsidRPr="00A464CF">
              <w:rPr>
                <w:rFonts w:eastAsia="Times New Roman"/>
                <w:sz w:val="22"/>
                <w:szCs w:val="22"/>
              </w:rPr>
              <w:t>6</w:t>
            </w:r>
          </w:p>
        </w:tc>
        <w:tc>
          <w:tcPr>
            <w:tcW w:w="5378" w:type="dxa"/>
            <w:shd w:val="clear" w:color="auto" w:fill="auto"/>
            <w:vAlign w:val="center"/>
            <w:hideMark/>
          </w:tcPr>
          <w:p w14:paraId="52D48F5B" w14:textId="77777777" w:rsidR="000E36B8" w:rsidRPr="00A464CF" w:rsidRDefault="000E36B8" w:rsidP="000E36B8">
            <w:pPr>
              <w:jc w:val="both"/>
              <w:rPr>
                <w:rFonts w:eastAsia="Times New Roman"/>
                <w:sz w:val="22"/>
                <w:szCs w:val="22"/>
              </w:rPr>
            </w:pPr>
            <w:r w:rsidRPr="00A464CF">
              <w:rPr>
                <w:rFonts w:eastAsia="Times New Roman"/>
                <w:sz w:val="22"/>
                <w:szCs w:val="22"/>
              </w:rPr>
              <w:t>Nâng cao năng lực các cơ quan chức năng quản lý và giám sát thị trường</w:t>
            </w:r>
          </w:p>
        </w:tc>
        <w:tc>
          <w:tcPr>
            <w:tcW w:w="7771" w:type="dxa"/>
            <w:shd w:val="clear" w:color="auto" w:fill="auto"/>
            <w:vAlign w:val="center"/>
            <w:hideMark/>
          </w:tcPr>
          <w:p w14:paraId="3F8C75F8" w14:textId="4D4BC322" w:rsidR="000E36B8" w:rsidRPr="00A464CF" w:rsidRDefault="001614BF" w:rsidP="000E36B8">
            <w:pPr>
              <w:jc w:val="both"/>
              <w:rPr>
                <w:rFonts w:eastAsia="Times New Roman"/>
                <w:sz w:val="22"/>
                <w:szCs w:val="22"/>
              </w:rPr>
            </w:pPr>
            <w:r w:rsidRPr="00A464CF">
              <w:rPr>
                <w:rFonts w:eastAsia="Times New Roman"/>
                <w:sz w:val="22"/>
                <w:szCs w:val="22"/>
              </w:rPr>
              <w:t>Thủ tướng Chính phủ ban hành Quyết định số 34/2018/QĐ-TTg thành lập Tổng cục quản lý thị trường thuộc Bộ Công thương theo mô hình ngành dọc từ Trung ương xuống địa phương, từng bước cải thiện việc kiểm soát các hoạt động kinh doanh hàng hóa nhập lậu; sản xuất, buôn bán hàng giả, hàng cấm, hàng hóa không rõ nguồn gốc, xuất xứ, các hành vi xâm phạm quyền sở hữu trí tuệ; chất lượng và giá sản phẩm, an toàn thực phẩm; bảo vệ tốt hơn quyền lợi người tiêu dùng.</w:t>
            </w:r>
          </w:p>
        </w:tc>
        <w:tc>
          <w:tcPr>
            <w:tcW w:w="1306" w:type="dxa"/>
            <w:shd w:val="clear" w:color="auto" w:fill="auto"/>
            <w:vAlign w:val="center"/>
            <w:hideMark/>
          </w:tcPr>
          <w:p w14:paraId="0A9671C1" w14:textId="6BB03D03" w:rsidR="000E36B8" w:rsidRPr="00A464CF" w:rsidRDefault="000E36B8" w:rsidP="001614BF">
            <w:pPr>
              <w:rPr>
                <w:rFonts w:eastAsia="Times New Roman"/>
                <w:sz w:val="22"/>
                <w:szCs w:val="22"/>
              </w:rPr>
            </w:pPr>
            <w:r w:rsidRPr="00A464CF">
              <w:rPr>
                <w:rFonts w:eastAsia="Times New Roman"/>
                <w:sz w:val="22"/>
                <w:szCs w:val="22"/>
              </w:rPr>
              <w:t xml:space="preserve">Đã triển khai </w:t>
            </w:r>
            <w:r w:rsidR="001614BF" w:rsidRPr="00A464CF">
              <w:rPr>
                <w:rFonts w:eastAsia="Times New Roman"/>
                <w:sz w:val="22"/>
                <w:szCs w:val="22"/>
              </w:rPr>
              <w:t xml:space="preserve">và có </w:t>
            </w:r>
            <w:r w:rsidR="00E636F1" w:rsidRPr="00A464CF">
              <w:rPr>
                <w:rFonts w:eastAsia="Times New Roman"/>
                <w:sz w:val="22"/>
                <w:szCs w:val="22"/>
              </w:rPr>
              <w:t>kết quả bước đầu</w:t>
            </w:r>
          </w:p>
        </w:tc>
      </w:tr>
      <w:tr w:rsidR="00A464CF" w:rsidRPr="00A464CF" w14:paraId="6FF30C0B" w14:textId="77777777" w:rsidTr="00AA2D1A">
        <w:trPr>
          <w:trHeight w:val="1285"/>
        </w:trPr>
        <w:tc>
          <w:tcPr>
            <w:tcW w:w="708" w:type="dxa"/>
            <w:shd w:val="clear" w:color="auto" w:fill="auto"/>
            <w:noWrap/>
            <w:vAlign w:val="center"/>
            <w:hideMark/>
          </w:tcPr>
          <w:p w14:paraId="590E7B84" w14:textId="77777777" w:rsidR="000E36B8" w:rsidRPr="00A464CF" w:rsidRDefault="000E36B8" w:rsidP="000E36B8">
            <w:pPr>
              <w:jc w:val="center"/>
              <w:rPr>
                <w:rFonts w:eastAsia="Times New Roman"/>
                <w:sz w:val="22"/>
                <w:szCs w:val="22"/>
              </w:rPr>
            </w:pPr>
            <w:r w:rsidRPr="00A464CF">
              <w:rPr>
                <w:rFonts w:eastAsia="Times New Roman"/>
                <w:sz w:val="22"/>
                <w:szCs w:val="22"/>
              </w:rPr>
              <w:t>7</w:t>
            </w:r>
          </w:p>
        </w:tc>
        <w:tc>
          <w:tcPr>
            <w:tcW w:w="5378" w:type="dxa"/>
            <w:shd w:val="clear" w:color="auto" w:fill="auto"/>
            <w:vAlign w:val="center"/>
            <w:hideMark/>
          </w:tcPr>
          <w:p w14:paraId="1BA5585D" w14:textId="77777777" w:rsidR="000E36B8" w:rsidRPr="00A464CF" w:rsidRDefault="000E36B8" w:rsidP="000E36B8">
            <w:pPr>
              <w:jc w:val="both"/>
              <w:rPr>
                <w:rFonts w:eastAsia="Times New Roman"/>
                <w:sz w:val="22"/>
                <w:szCs w:val="22"/>
              </w:rPr>
            </w:pPr>
            <w:r w:rsidRPr="00A464CF">
              <w:rPr>
                <w:rFonts w:eastAsia="Times New Roman"/>
                <w:sz w:val="22"/>
                <w:szCs w:val="22"/>
              </w:rPr>
              <w:t>Tăng cường khả năng điều tiết, giám sát, kiểm tra và thanh tra theo mức độ rủi ro và tuân thủ pháp luật của đối tượng quản lý; xử lý nghiêm những hành vi vi phạm pháp luật</w:t>
            </w:r>
          </w:p>
        </w:tc>
        <w:tc>
          <w:tcPr>
            <w:tcW w:w="7771" w:type="dxa"/>
            <w:shd w:val="clear" w:color="auto" w:fill="auto"/>
            <w:vAlign w:val="center"/>
            <w:hideMark/>
          </w:tcPr>
          <w:p w14:paraId="313BA05B" w14:textId="77777777" w:rsidR="000E36B8" w:rsidRPr="00A464CF" w:rsidRDefault="000E36B8" w:rsidP="000E36B8">
            <w:pPr>
              <w:jc w:val="both"/>
              <w:rPr>
                <w:rFonts w:eastAsia="Times New Roman"/>
                <w:sz w:val="22"/>
                <w:szCs w:val="22"/>
              </w:rPr>
            </w:pPr>
            <w:r w:rsidRPr="00A464CF">
              <w:rPr>
                <w:rFonts w:eastAsia="Times New Roman"/>
                <w:sz w:val="22"/>
                <w:szCs w:val="22"/>
              </w:rPr>
              <w:t>Hoạt động giám sát, kiểm tra, thanh tra được tăng cường; tuy nhiên, chất lượng thanh tra, kiểm tra, giám sát trong một số ngành, lĩnh vực còn hạn chế, ví dụ như việc thanh tra, kiểm tra các dự án BOT, kiểm soát, bảo vệ quyền sở hữu trí tuệ, chất lượng sản phẩm, đảm bảo vệ sinh thực phẩm, an toàn học đường. Việc chuyển từ tiền kiểm sang hậu kiểm còn nhiều hạn chế, làm phát sinh chi phí cho doanh nghiệp</w:t>
            </w:r>
          </w:p>
        </w:tc>
        <w:tc>
          <w:tcPr>
            <w:tcW w:w="1306" w:type="dxa"/>
            <w:shd w:val="clear" w:color="auto" w:fill="auto"/>
            <w:vAlign w:val="center"/>
            <w:hideMark/>
          </w:tcPr>
          <w:p w14:paraId="5783A237" w14:textId="77777777" w:rsidR="000E36B8" w:rsidRPr="00A464CF" w:rsidRDefault="000E36B8" w:rsidP="000E36B8">
            <w:pPr>
              <w:rPr>
                <w:rFonts w:eastAsia="Times New Roman"/>
                <w:sz w:val="22"/>
                <w:szCs w:val="22"/>
              </w:rPr>
            </w:pPr>
            <w:r w:rsidRPr="00A464CF">
              <w:rPr>
                <w:rFonts w:eastAsia="Times New Roman"/>
                <w:sz w:val="22"/>
                <w:szCs w:val="22"/>
              </w:rPr>
              <w:t>Đã triển khai và có kết quả bước đầu</w:t>
            </w:r>
          </w:p>
        </w:tc>
      </w:tr>
      <w:tr w:rsidR="000E36B8" w:rsidRPr="00A464CF" w14:paraId="156785C0" w14:textId="77777777" w:rsidTr="00AA2D1A">
        <w:trPr>
          <w:trHeight w:val="2037"/>
        </w:trPr>
        <w:tc>
          <w:tcPr>
            <w:tcW w:w="708" w:type="dxa"/>
            <w:shd w:val="clear" w:color="auto" w:fill="auto"/>
            <w:noWrap/>
            <w:vAlign w:val="center"/>
            <w:hideMark/>
          </w:tcPr>
          <w:p w14:paraId="5A21E9B2" w14:textId="77777777" w:rsidR="000E36B8" w:rsidRPr="00A464CF" w:rsidRDefault="000E36B8" w:rsidP="000E36B8">
            <w:pPr>
              <w:jc w:val="center"/>
              <w:rPr>
                <w:rFonts w:eastAsia="Times New Roman"/>
                <w:sz w:val="22"/>
                <w:szCs w:val="22"/>
              </w:rPr>
            </w:pPr>
            <w:r w:rsidRPr="00A464CF">
              <w:rPr>
                <w:rFonts w:eastAsia="Times New Roman"/>
                <w:sz w:val="22"/>
                <w:szCs w:val="22"/>
              </w:rPr>
              <w:t>8</w:t>
            </w:r>
          </w:p>
        </w:tc>
        <w:tc>
          <w:tcPr>
            <w:tcW w:w="5378" w:type="dxa"/>
            <w:shd w:val="clear" w:color="auto" w:fill="auto"/>
            <w:vAlign w:val="center"/>
            <w:hideMark/>
          </w:tcPr>
          <w:p w14:paraId="620F3A7D" w14:textId="645616C1" w:rsidR="000E36B8" w:rsidRPr="00A464CF" w:rsidRDefault="000E36B8" w:rsidP="000E36B8">
            <w:pPr>
              <w:jc w:val="both"/>
              <w:rPr>
                <w:rFonts w:eastAsia="Times New Roman"/>
                <w:sz w:val="22"/>
                <w:szCs w:val="22"/>
              </w:rPr>
            </w:pPr>
            <w:r w:rsidRPr="00A464CF">
              <w:rPr>
                <w:rFonts w:eastAsia="Times New Roman"/>
                <w:sz w:val="22"/>
                <w:szCs w:val="22"/>
              </w:rPr>
              <w:t>Tăng cường công tác phát hiện, điều tra, xử lý nghiêm các hành vi vi phạm pháp luật và tham mưu cho Chính phủ những sơ hở, thiếu sót trong công tác quản lý nhà nước trên các lĩnh vực, không để các đối tượng lợi dụng thực hiện hành vi vi phạm pháp luật</w:t>
            </w:r>
          </w:p>
        </w:tc>
        <w:tc>
          <w:tcPr>
            <w:tcW w:w="7771" w:type="dxa"/>
            <w:shd w:val="clear" w:color="auto" w:fill="auto"/>
            <w:vAlign w:val="center"/>
            <w:hideMark/>
          </w:tcPr>
          <w:p w14:paraId="7D43ABAB" w14:textId="22699BCF" w:rsidR="000E36B8" w:rsidRPr="00A464CF" w:rsidRDefault="000E36B8" w:rsidP="000E36B8">
            <w:pPr>
              <w:jc w:val="both"/>
              <w:rPr>
                <w:rFonts w:eastAsia="Times New Roman"/>
                <w:sz w:val="22"/>
                <w:szCs w:val="22"/>
              </w:rPr>
            </w:pPr>
            <w:r w:rsidRPr="00A464CF">
              <w:rPr>
                <w:rFonts w:eastAsia="Times New Roman"/>
                <w:sz w:val="22"/>
                <w:szCs w:val="22"/>
              </w:rPr>
              <w:t>Bộ Công an đã chủ động tham mưu với Đảng, Nhà nước đẩy mạnh thu hút đầu tư nước ngoài, đồng thời bảo đảm lợi ích, an ninh quốc gia của Việt Nam trong đàm phát ký kết các FTA; kịp thời phát hiện những sơ hở, yếu kém của các tập đoàn, tổ công ty Nhà nước, ngân hàng thương mại, từ đó kiến nghị với Chính phủ chỉ đạo các bộ, ngành liên quan rà soát, thực hiện cơ cấu lại DNNN, các ngân hàng, cơ cấu lại tín dụng. Bộ đã xây dựng các kế hoạch về mở các đợt cao điểm tấn công trấn áp tội phạm nhằm bảo vệ tuyệt đối các sự kiện lớn của đất nước; Đẩy nhanh tiến độ đảm bảo thời hạn điều tra các vụ án đã khởi tố, nhất là các vụ án, vụ việc thuộc diện Ban Chỉ đạo Trung ương về phòng chống tham nhũng theo dõi, chỉ đạo. Tuy nhiên, một số giai đoạn của quá trình điều tra, xét xử các vụ án lớn còn chậm so với kế hoạch, chưa kịp thời đưa ra xét xử để đảm bảo lợi ích của những người liên quan</w:t>
            </w:r>
          </w:p>
        </w:tc>
        <w:tc>
          <w:tcPr>
            <w:tcW w:w="1306" w:type="dxa"/>
            <w:shd w:val="clear" w:color="auto" w:fill="auto"/>
            <w:vAlign w:val="center"/>
            <w:hideMark/>
          </w:tcPr>
          <w:p w14:paraId="281DAC4B" w14:textId="77777777" w:rsidR="000E36B8" w:rsidRPr="00A464CF" w:rsidRDefault="000E36B8" w:rsidP="000E36B8">
            <w:pPr>
              <w:rPr>
                <w:rFonts w:eastAsia="Times New Roman"/>
                <w:sz w:val="22"/>
                <w:szCs w:val="22"/>
              </w:rPr>
            </w:pPr>
            <w:r w:rsidRPr="00A464CF">
              <w:rPr>
                <w:rFonts w:eastAsia="Times New Roman"/>
                <w:sz w:val="22"/>
                <w:szCs w:val="22"/>
              </w:rPr>
              <w:t>Đã triển khai và có kết quả bước đầu</w:t>
            </w:r>
          </w:p>
        </w:tc>
      </w:tr>
    </w:tbl>
    <w:p w14:paraId="41FA0A6D" w14:textId="643DDDE9" w:rsidR="00FE7D5A" w:rsidRPr="00A464CF" w:rsidRDefault="00FE7D5A" w:rsidP="001732EB">
      <w:pPr>
        <w:pStyle w:val="NormalWeb"/>
        <w:spacing w:before="120" w:beforeAutospacing="0" w:after="120" w:afterAutospacing="0" w:line="264" w:lineRule="auto"/>
        <w:ind w:firstLine="567"/>
        <w:jc w:val="both"/>
        <w:rPr>
          <w:rFonts w:eastAsiaTheme="minorEastAsia"/>
          <w:kern w:val="24"/>
          <w:sz w:val="28"/>
          <w:szCs w:val="26"/>
        </w:rPr>
      </w:pPr>
    </w:p>
    <w:p w14:paraId="17FD5F75" w14:textId="6EBF3ADC" w:rsidR="000F6F29" w:rsidRPr="00A464CF" w:rsidRDefault="00FE7D5A" w:rsidP="009672C2">
      <w:pPr>
        <w:tabs>
          <w:tab w:val="left" w:pos="1088"/>
        </w:tabs>
        <w:jc w:val="both"/>
        <w:rPr>
          <w:i/>
          <w:lang w:eastAsia="x-none"/>
        </w:rPr>
        <w:sectPr w:rsidR="000F6F29" w:rsidRPr="00A464CF" w:rsidSect="000F6F29">
          <w:headerReference w:type="default" r:id="rId10"/>
          <w:footerReference w:type="default" r:id="rId11"/>
          <w:pgSz w:w="16840" w:h="11907" w:orient="landscape" w:code="9"/>
          <w:pgMar w:top="1418" w:right="1134" w:bottom="1134" w:left="1134" w:header="454" w:footer="340" w:gutter="0"/>
          <w:cols w:space="720"/>
          <w:docGrid w:linePitch="360"/>
        </w:sectPr>
      </w:pPr>
      <w:r w:rsidRPr="00A464CF">
        <w:rPr>
          <w:i/>
          <w:sz w:val="28"/>
          <w:szCs w:val="28"/>
          <w:lang w:eastAsia="x-none"/>
        </w:rPr>
        <w:t>16 nhóm nhiệm vụ, 120 nhiệm vụ cụ thể. Trong đó:</w:t>
      </w:r>
      <w:r w:rsidR="00F315ED" w:rsidRPr="00A464CF">
        <w:rPr>
          <w:i/>
          <w:sz w:val="28"/>
          <w:szCs w:val="28"/>
          <w:lang w:eastAsia="x-none"/>
        </w:rPr>
        <w:t xml:space="preserve"> 42 nhiệm vụ đã triển khai và cho kết quả rõ ràng (chiế</w:t>
      </w:r>
      <w:r w:rsidR="00E636F1" w:rsidRPr="00A464CF">
        <w:rPr>
          <w:i/>
          <w:sz w:val="28"/>
          <w:szCs w:val="28"/>
          <w:lang w:eastAsia="x-none"/>
        </w:rPr>
        <w:t>m 35%); 74</w:t>
      </w:r>
      <w:r w:rsidR="00F315ED" w:rsidRPr="00A464CF">
        <w:rPr>
          <w:i/>
          <w:sz w:val="28"/>
          <w:szCs w:val="28"/>
          <w:lang w:eastAsia="x-none"/>
        </w:rPr>
        <w:t xml:space="preserve"> nhiệm vụ đã triển khai và cho kết quả bước đầu (chiếm 6</w:t>
      </w:r>
      <w:r w:rsidR="00E636F1" w:rsidRPr="00A464CF">
        <w:rPr>
          <w:i/>
          <w:sz w:val="28"/>
          <w:szCs w:val="28"/>
          <w:lang w:eastAsia="x-none"/>
        </w:rPr>
        <w:t>1,7%); 4</w:t>
      </w:r>
      <w:r w:rsidR="00F315ED" w:rsidRPr="00A464CF">
        <w:rPr>
          <w:i/>
          <w:sz w:val="28"/>
          <w:szCs w:val="28"/>
          <w:lang w:eastAsia="x-none"/>
        </w:rPr>
        <w:t xml:space="preserve"> nhiệm vụ đã triển khai nhưng chậm so với kế hoạch (chiếm </w:t>
      </w:r>
      <w:r w:rsidR="00E636F1" w:rsidRPr="00A464CF">
        <w:rPr>
          <w:i/>
          <w:sz w:val="28"/>
          <w:szCs w:val="28"/>
          <w:lang w:eastAsia="x-none"/>
        </w:rPr>
        <w:t>3,3</w:t>
      </w:r>
      <w:r w:rsidR="00F315ED" w:rsidRPr="00A464CF">
        <w:rPr>
          <w:i/>
          <w:sz w:val="28"/>
          <w:szCs w:val="28"/>
          <w:lang w:eastAsia="x-none"/>
        </w:rPr>
        <w:t>%)</w:t>
      </w:r>
    </w:p>
    <w:p w14:paraId="25DCB5A3" w14:textId="608DFB99" w:rsidR="00896573" w:rsidRPr="00A464CF" w:rsidRDefault="00896573" w:rsidP="000E36B8">
      <w:pPr>
        <w:pStyle w:val="NormalWeb"/>
        <w:spacing w:before="120" w:beforeAutospacing="0" w:after="120" w:afterAutospacing="0" w:line="264" w:lineRule="auto"/>
        <w:jc w:val="both"/>
        <w:rPr>
          <w:rFonts w:eastAsiaTheme="minorEastAsia"/>
          <w:kern w:val="24"/>
          <w:sz w:val="28"/>
          <w:szCs w:val="26"/>
        </w:rPr>
      </w:pPr>
    </w:p>
    <w:sectPr w:rsidR="00896573" w:rsidRPr="00A464CF" w:rsidSect="00F06C4A">
      <w:pgSz w:w="11907" w:h="16840" w:code="9"/>
      <w:pgMar w:top="1134" w:right="1134" w:bottom="1134" w:left="1418" w:header="454"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123CD" w14:textId="77777777" w:rsidR="00150DD7" w:rsidRDefault="00150DD7">
      <w:r>
        <w:separator/>
      </w:r>
    </w:p>
  </w:endnote>
  <w:endnote w:type="continuationSeparator" w:id="0">
    <w:p w14:paraId="2E131EEA" w14:textId="77777777" w:rsidR="00150DD7" w:rsidRDefault="00150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FF4B5" w14:textId="7D4D71A7" w:rsidR="000E36B8" w:rsidRDefault="000E36B8">
    <w:pPr>
      <w:pStyle w:val="Footer"/>
      <w:jc w:val="right"/>
    </w:pPr>
  </w:p>
  <w:p w14:paraId="41F3355B" w14:textId="77777777" w:rsidR="000E36B8" w:rsidRDefault="000E36B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F41D8" w14:textId="77777777" w:rsidR="00150DD7" w:rsidRDefault="00150DD7">
      <w:r>
        <w:separator/>
      </w:r>
    </w:p>
  </w:footnote>
  <w:footnote w:type="continuationSeparator" w:id="0">
    <w:p w14:paraId="071A6FF8" w14:textId="77777777" w:rsidR="00150DD7" w:rsidRDefault="00150DD7">
      <w:r>
        <w:continuationSeparator/>
      </w:r>
    </w:p>
  </w:footnote>
  <w:footnote w:id="1">
    <w:p w14:paraId="3B094769" w14:textId="77777777" w:rsidR="000E36B8" w:rsidRPr="00E7612E" w:rsidRDefault="000E36B8" w:rsidP="000E36B8">
      <w:pPr>
        <w:pStyle w:val="FootnoteText"/>
        <w:rPr>
          <w:rStyle w:val="FootnoteReference"/>
        </w:rPr>
      </w:pPr>
      <w:r w:rsidRPr="00E7612E">
        <w:rPr>
          <w:rStyle w:val="FootnoteReference"/>
        </w:rPr>
        <w:footnoteRef/>
      </w:r>
      <w:r w:rsidRPr="00E7612E">
        <w:rPr>
          <w:rStyle w:val="FootnoteReference"/>
        </w:rPr>
        <w:t xml:space="preserve"> - Nghị định số 23/2016/NĐ-CP ngày 05/4/2016 </w:t>
      </w:r>
      <w:r w:rsidRPr="00E7612E">
        <w:t xml:space="preserve">của Chính phủ </w:t>
      </w:r>
      <w:r w:rsidRPr="00E7612E">
        <w:rPr>
          <w:rStyle w:val="FootnoteReference"/>
        </w:rPr>
        <w:t>về xây dựng, quản lý, sử dụng nghĩa trang và cơ sở hỏa táng (thay thế Nghị định số 35/2008/NĐ-CP).</w:t>
      </w:r>
    </w:p>
    <w:p w14:paraId="6E054A21" w14:textId="77777777" w:rsidR="000E36B8" w:rsidRPr="00E7612E" w:rsidRDefault="000E36B8" w:rsidP="000E36B8">
      <w:pPr>
        <w:pStyle w:val="FootnoteText"/>
        <w:rPr>
          <w:rStyle w:val="FootnoteReference"/>
        </w:rPr>
      </w:pPr>
      <w:r w:rsidRPr="00DB1D87">
        <w:rPr>
          <w:rStyle w:val="FootnoteReference"/>
        </w:rPr>
        <w:t>- Quy</w:t>
      </w:r>
      <w:r w:rsidRPr="00FE7D5A">
        <w:rPr>
          <w:rStyle w:val="FootnoteReference"/>
        </w:rPr>
        <w:t xml:space="preserve">ết định số 2502/QĐ-TTg ngày 22/12/2016 </w:t>
      </w:r>
      <w:r w:rsidRPr="00FE7D5A">
        <w:t>của Thủ tướ</w:t>
      </w:r>
      <w:r w:rsidRPr="00F315ED">
        <w:t xml:space="preserve">ng Chính phủ </w:t>
      </w:r>
      <w:r w:rsidRPr="00F315ED">
        <w:rPr>
          <w:rStyle w:val="FootnoteReference"/>
        </w:rPr>
        <w:t>phê duyệt Điều ch</w:t>
      </w:r>
      <w:r w:rsidRPr="00E7612E">
        <w:rPr>
          <w:rStyle w:val="FootnoteReference"/>
        </w:rPr>
        <w:t>ỉnh Định hướng phát triển cấp nước đô thị và khu công nghiệp Việt Nam đến năm 2025, tầm nhìn đến năm 2050.</w:t>
      </w:r>
    </w:p>
    <w:p w14:paraId="5BF9BCA9" w14:textId="77777777" w:rsidR="000E36B8" w:rsidRPr="00E7612E" w:rsidRDefault="000E36B8" w:rsidP="000E36B8">
      <w:pPr>
        <w:pStyle w:val="FootnoteText"/>
        <w:rPr>
          <w:rStyle w:val="FootnoteReference"/>
        </w:rPr>
      </w:pPr>
      <w:r w:rsidRPr="00E7612E">
        <w:rPr>
          <w:rStyle w:val="FootnoteReference"/>
        </w:rPr>
        <w:t xml:space="preserve">- Quyết định số 589/QĐ-TTg ngày 06/4/2016 </w:t>
      </w:r>
      <w:r w:rsidRPr="00E7612E">
        <w:t xml:space="preserve">của Thủ tướng Chính phủ </w:t>
      </w:r>
      <w:r w:rsidRPr="00E7612E">
        <w:rPr>
          <w:rStyle w:val="FootnoteReference"/>
        </w:rPr>
        <w:t>phê duyệt Điều chỉnh Định hướng phát triển thoát nước đô thị và khu công nghiệp Việt Nam đến năm 2025, tầm nhìn đến năm 2050.</w:t>
      </w:r>
    </w:p>
    <w:p w14:paraId="16C79629" w14:textId="77777777" w:rsidR="000E36B8" w:rsidRPr="00E7612E" w:rsidRDefault="000E36B8" w:rsidP="000E36B8">
      <w:pPr>
        <w:pStyle w:val="FootnoteText"/>
        <w:rPr>
          <w:rStyle w:val="FootnoteReference"/>
        </w:rPr>
      </w:pPr>
      <w:r w:rsidRPr="00E7612E">
        <w:rPr>
          <w:rStyle w:val="FootnoteReference"/>
        </w:rPr>
        <w:t xml:space="preserve">- Quyết định số 1566/QĐ-TTg ngày 09/8/2016 </w:t>
      </w:r>
      <w:r w:rsidRPr="00E7612E">
        <w:t xml:space="preserve">của Thủ tướng Chính phủ </w:t>
      </w:r>
      <w:r w:rsidRPr="00E7612E">
        <w:rPr>
          <w:rStyle w:val="FootnoteReference"/>
        </w:rPr>
        <w:t>phê duyệt Chương trình quốc gia bảo đảm cấp nước an toàn giai đoạn 2016 – 2025.</w:t>
      </w:r>
    </w:p>
    <w:p w14:paraId="01D8528E" w14:textId="77777777" w:rsidR="000E36B8" w:rsidRPr="00E7612E" w:rsidRDefault="000E36B8" w:rsidP="000E36B8">
      <w:pPr>
        <w:pStyle w:val="FootnoteText"/>
        <w:rPr>
          <w:rStyle w:val="FootnoteReference"/>
        </w:rPr>
      </w:pPr>
      <w:r w:rsidRPr="00E7612E">
        <w:rPr>
          <w:rStyle w:val="FootnoteReference"/>
        </w:rPr>
        <w:t xml:space="preserve">- Quyết định số 491/QĐ-TTg ngày 07/5/2018 </w:t>
      </w:r>
      <w:r w:rsidRPr="00E7612E">
        <w:t xml:space="preserve">của Thủ tướng Chính phủ </w:t>
      </w:r>
      <w:r w:rsidRPr="00E7612E">
        <w:rPr>
          <w:rStyle w:val="FootnoteReference"/>
        </w:rPr>
        <w:t>phê duyệt Điều chỉnh Chiến lược quốc gia về quản lý tổng hợp chất thải rắn đến năm 2025, tầm nhìn đến năm 2050.</w:t>
      </w:r>
    </w:p>
    <w:p w14:paraId="62E3B2C7" w14:textId="77777777" w:rsidR="000E36B8" w:rsidRPr="00E7612E" w:rsidRDefault="000E36B8" w:rsidP="000E36B8">
      <w:pPr>
        <w:pStyle w:val="FootnoteText"/>
      </w:pPr>
    </w:p>
  </w:footnote>
  <w:footnote w:id="2">
    <w:p w14:paraId="544E680B" w14:textId="77777777" w:rsidR="000E36B8" w:rsidRPr="00E7612E" w:rsidRDefault="000E36B8" w:rsidP="000E36B8">
      <w:pPr>
        <w:pStyle w:val="FootnoteText"/>
      </w:pPr>
      <w:r w:rsidRPr="00E7612E">
        <w:rPr>
          <w:rStyle w:val="FootnoteReference"/>
        </w:rPr>
        <w:footnoteRef/>
      </w:r>
      <w:r w:rsidRPr="00E7612E">
        <w:t xml:space="preserve"> Trong đó có 53 đô thị thực hiện theo quy định của Nghị quyết 1210/2016/UBTVQH13</w:t>
      </w:r>
    </w:p>
  </w:footnote>
  <w:footnote w:id="3">
    <w:p w14:paraId="5EFA401E" w14:textId="77777777" w:rsidR="000E36B8" w:rsidRPr="00E7612E" w:rsidRDefault="000E36B8" w:rsidP="000E36B8">
      <w:pPr>
        <w:pStyle w:val="FootnoteText"/>
      </w:pPr>
      <w:r w:rsidRPr="00E7612E">
        <w:rPr>
          <w:rStyle w:val="FootnoteReference"/>
        </w:rPr>
        <w:footnoteRef/>
      </w:r>
      <w:r w:rsidRPr="00E7612E">
        <w:rPr>
          <w:rStyle w:val="FootnoteReference"/>
        </w:rPr>
        <w:t xml:space="preserve"> Thành phố Hồ Chí Minh tại Quyết định số 2076/QĐ-TTg ngày 22/12/2017, vùng đồng bằng sông Cửu Long tại Quyết định số 68/QĐ-TTg ngày 15/01/2018</w:t>
      </w:r>
      <w:r w:rsidRPr="00E7612E">
        <w:t>.</w:t>
      </w:r>
    </w:p>
    <w:p w14:paraId="417A9BBC" w14:textId="77777777" w:rsidR="000E36B8" w:rsidRPr="00E7612E" w:rsidRDefault="000E36B8" w:rsidP="000E36B8">
      <w:pPr>
        <w:pStyle w:val="FootnoteText"/>
      </w:pPr>
      <w:r w:rsidRPr="00E7612E">
        <w:rPr>
          <w:rStyle w:val="FootnoteReference"/>
        </w:rPr>
        <w:t>Chỉ thị số 05/QT-TTg ngày 01/03/2019 về tăng cường chấn chỉnh công tác quy hoạch xây dựng, quản lý phát triển đô thị theo quy hoạch được duyệt</w:t>
      </w:r>
    </w:p>
  </w:footnote>
  <w:footnote w:id="4">
    <w:p w14:paraId="2D622740" w14:textId="77777777" w:rsidR="000E36B8" w:rsidRPr="004E7069" w:rsidRDefault="000E36B8" w:rsidP="00E7612E">
      <w:pPr>
        <w:pStyle w:val="FootnoteText"/>
        <w:rPr>
          <w:rStyle w:val="FootnoteReference"/>
        </w:rPr>
      </w:pPr>
      <w:r w:rsidRPr="004E7069">
        <w:rPr>
          <w:rStyle w:val="FootnoteReference"/>
        </w:rPr>
        <w:footnoteRef/>
      </w:r>
      <w:r w:rsidRPr="004E7069">
        <w:rPr>
          <w:rStyle w:val="FootnoteReference"/>
        </w:rPr>
        <w:t xml:space="preserve"> Điện Biên, Bình Định, An Giang, Cần Thơ, Ninh Thuận, Sơn La, Kon Tum, Hà Nam, Bạc Liêu và Kiên Giang và Thừa Thiên Huế</w:t>
      </w:r>
    </w:p>
  </w:footnote>
  <w:footnote w:id="5">
    <w:p w14:paraId="29889067" w14:textId="77777777" w:rsidR="000E36B8" w:rsidRPr="004E7069" w:rsidRDefault="000E36B8" w:rsidP="00E7612E">
      <w:pPr>
        <w:pStyle w:val="FootnoteText"/>
        <w:rPr>
          <w:rStyle w:val="FootnoteReference"/>
        </w:rPr>
      </w:pPr>
      <w:r w:rsidRPr="004E7069">
        <w:rPr>
          <w:rStyle w:val="FootnoteReference"/>
        </w:rPr>
        <w:footnoteRef/>
      </w:r>
      <w:r w:rsidRPr="004E7069">
        <w:rPr>
          <w:rStyle w:val="FootnoteReference"/>
        </w:rPr>
        <w:t xml:space="preserve"> Hà Nội, TP Hồ Chí Minh, Hải Phòng và Quảng Ninh</w:t>
      </w:r>
    </w:p>
  </w:footnote>
  <w:footnote w:id="6">
    <w:p w14:paraId="77188433" w14:textId="77777777" w:rsidR="000E36B8" w:rsidRPr="00345EBC" w:rsidRDefault="000E36B8" w:rsidP="00E7612E">
      <w:pPr>
        <w:pStyle w:val="FootnoteText"/>
      </w:pPr>
      <w:r w:rsidRPr="004E7069">
        <w:rPr>
          <w:rStyle w:val="FootnoteReference"/>
        </w:rPr>
        <w:footnoteRef/>
      </w:r>
      <w:r w:rsidRPr="004E7069">
        <w:rPr>
          <w:rStyle w:val="FootnoteReference"/>
        </w:rPr>
        <w:t xml:space="preserve"> </w:t>
      </w:r>
      <w:r w:rsidRPr="00345EBC">
        <w:t>Trà Vinh, Yên Bái, Bến Tre, Vũng Tàu, Lâm Đồng, Hải Dương</w:t>
      </w:r>
    </w:p>
  </w:footnote>
  <w:footnote w:id="7">
    <w:p w14:paraId="7B1ED2D6" w14:textId="77777777" w:rsidR="000E36B8" w:rsidRPr="004E7069" w:rsidRDefault="000E36B8" w:rsidP="00E7612E">
      <w:pPr>
        <w:pStyle w:val="FootnoteText"/>
        <w:jc w:val="both"/>
        <w:rPr>
          <w:b/>
        </w:rPr>
      </w:pPr>
      <w:r w:rsidRPr="004E7069">
        <w:rPr>
          <w:rStyle w:val="FootnoteReference"/>
        </w:rPr>
        <w:footnoteRef/>
      </w:r>
      <w:r w:rsidRPr="004E7069">
        <w:t xml:space="preserve"> Bộ Công thương – Bản đồ Atlas Biến đổi khí hậu trong lĩnh vực năng lượng và giao thông; Bộ Tài nguyên &amp;Môi trường - Kịch bản các hiện tượng thời tiết cực đoan trung hạn (2015 - 2030), Atlas khí hậu và BĐKH; Bộ Nông nghiệp và Phát triển nông thôn - Triển khai xây dựng hệ thống báo động trực canh cảnh báo sóng thần cho vùng có nguy cơ cao (tích hợp thành hệ thống tháp báo thiên tai ven biển).</w:t>
      </w:r>
    </w:p>
  </w:footnote>
  <w:footnote w:id="8">
    <w:p w14:paraId="688B4BE8" w14:textId="77777777" w:rsidR="000E36B8" w:rsidRPr="004E7069" w:rsidRDefault="000E36B8" w:rsidP="00E7612E">
      <w:pPr>
        <w:pStyle w:val="FootnoteText"/>
        <w:jc w:val="both"/>
        <w:rPr>
          <w:b/>
          <w:lang w:val="vi-VN"/>
        </w:rPr>
      </w:pPr>
      <w:r w:rsidRPr="004E7069">
        <w:rPr>
          <w:vertAlign w:val="superscript"/>
        </w:rPr>
        <w:footnoteRef/>
      </w:r>
      <w:r w:rsidRPr="004E7069">
        <w:t xml:space="preserve"> Thái Bình, Ninh Bình, Nam Định, Thanh Hóa, Quảng Trị, Quảng Bình, Quảng Nam, Quảng Ngãi, Bình Định, Phú Yên, Khánh Hòa, Kon Tum, Long An.</w:t>
      </w:r>
    </w:p>
  </w:footnote>
  <w:footnote w:id="9">
    <w:p w14:paraId="42EC0056" w14:textId="77777777" w:rsidR="000E36B8" w:rsidRPr="004E7069" w:rsidRDefault="000E36B8" w:rsidP="00E7612E">
      <w:pPr>
        <w:pStyle w:val="FootnoteText"/>
        <w:jc w:val="both"/>
        <w:rPr>
          <w:b/>
          <w:lang w:val="vi-VN"/>
        </w:rPr>
      </w:pPr>
      <w:r w:rsidRPr="004E7069">
        <w:rPr>
          <w:rStyle w:val="FootnoteReference"/>
        </w:rPr>
        <w:footnoteRef/>
      </w:r>
      <w:r w:rsidRPr="004E7069">
        <w:t xml:space="preserve"> Bình Phước, Cà Mau, Kiên Giang</w:t>
      </w:r>
      <w:r w:rsidRPr="004E7069">
        <w:rPr>
          <w:lang w:val="vi-VN"/>
        </w:rPr>
        <w:t>.</w:t>
      </w:r>
    </w:p>
  </w:footnote>
  <w:footnote w:id="10">
    <w:p w14:paraId="72D5C326" w14:textId="77777777" w:rsidR="000E36B8" w:rsidRPr="004E7069" w:rsidRDefault="000E36B8" w:rsidP="00E7612E">
      <w:pPr>
        <w:pStyle w:val="FootnoteText"/>
        <w:jc w:val="both"/>
        <w:rPr>
          <w:b/>
          <w:lang w:val="vi-VN"/>
        </w:rPr>
      </w:pPr>
      <w:r w:rsidRPr="004E7069">
        <w:rPr>
          <w:rStyle w:val="FootnoteReference"/>
        </w:rPr>
        <w:footnoteRef/>
      </w:r>
      <w:r w:rsidRPr="004E7069">
        <w:t xml:space="preserve"> TP Hồ Chí Minh, TP Đà Nẵng, TP Cà Mau</w:t>
      </w:r>
    </w:p>
  </w:footnote>
  <w:footnote w:id="11">
    <w:p w14:paraId="24E836F6" w14:textId="77777777" w:rsidR="000E36B8" w:rsidRPr="004E7069" w:rsidRDefault="000E36B8" w:rsidP="007848F0">
      <w:pPr>
        <w:pStyle w:val="FootnoteText"/>
      </w:pPr>
      <w:r w:rsidRPr="004E7069">
        <w:rPr>
          <w:rStyle w:val="FootnoteReference"/>
        </w:rPr>
        <w:footnoteRef/>
      </w:r>
      <w:r w:rsidRPr="004E7069">
        <w:t xml:space="preserve"> </w:t>
      </w:r>
      <w:r w:rsidRPr="004E7069">
        <w:rPr>
          <w:rFonts w:eastAsia="Times New Roman"/>
        </w:rPr>
        <w:t>Triển khai tại 6 thành phố gồm: Cần Thơ, Cà Mau, Cao Lãnh, Mỹ Tho, Rạch Giá và Trà Vinh</w:t>
      </w:r>
    </w:p>
  </w:footnote>
  <w:footnote w:id="12">
    <w:p w14:paraId="7B9131FD" w14:textId="77777777" w:rsidR="000E36B8" w:rsidRPr="004E7069" w:rsidRDefault="000E36B8" w:rsidP="007848F0">
      <w:pPr>
        <w:pStyle w:val="FootnoteText"/>
      </w:pPr>
      <w:r w:rsidRPr="004E7069">
        <w:rPr>
          <w:rStyle w:val="FootnoteReference"/>
        </w:rPr>
        <w:footnoteRef/>
      </w:r>
      <w:r w:rsidRPr="004E7069">
        <w:t xml:space="preserve"> </w:t>
      </w:r>
      <w:r w:rsidRPr="004E7069">
        <w:rPr>
          <w:rFonts w:eastAsia="Times New Roman"/>
        </w:rPr>
        <w:t>Bắc Kạn, Cao Bằng, Điện Biên Phủ, Hòa Bình, Thái Nguyên, Tuyên Quang, Yên Bái</w:t>
      </w:r>
    </w:p>
  </w:footnote>
  <w:footnote w:id="13">
    <w:p w14:paraId="0C178B0F" w14:textId="77777777" w:rsidR="000E36B8" w:rsidRPr="00940E3A" w:rsidRDefault="000E36B8" w:rsidP="00DB1D87">
      <w:pPr>
        <w:pStyle w:val="FootnoteText"/>
        <w:jc w:val="both"/>
        <w:rPr>
          <w:u w:val="single"/>
          <w:lang w:val="pt-BR"/>
        </w:rPr>
      </w:pPr>
      <w:r w:rsidRPr="00940E3A">
        <w:rPr>
          <w:rStyle w:val="FootnoteReference"/>
        </w:rPr>
        <w:footnoteRef/>
      </w:r>
      <w:r w:rsidRPr="00940E3A">
        <w:rPr>
          <w:lang w:val="pt-BR"/>
        </w:rPr>
        <w:t xml:space="preserve"> </w:t>
      </w:r>
      <w:r w:rsidRPr="00940E3A">
        <w:rPr>
          <w:u w:val="single"/>
          <w:lang w:val="pt-BR"/>
        </w:rPr>
        <w:t>T</w:t>
      </w:r>
      <w:r w:rsidRPr="00940E3A">
        <w:rPr>
          <w:bCs/>
          <w:u w:val="single"/>
          <w:lang w:val="pt-BR"/>
        </w:rPr>
        <w:t>ại thời điểm 31/12/2019 đạt 12,59 triệu tỷ đồng (tăng 13,69% so với năm 2018, tăng 25,84% so với năm 2017, tăng 48,01% so với năm 2016)</w:t>
      </w:r>
      <w:r>
        <w:rPr>
          <w:bCs/>
          <w:u w:val="single"/>
          <w:lang w:val="pt-BR"/>
        </w:rPr>
        <w:t>.</w:t>
      </w:r>
    </w:p>
  </w:footnote>
  <w:footnote w:id="14">
    <w:p w14:paraId="7E3E7ECF" w14:textId="77777777" w:rsidR="000E36B8" w:rsidRPr="00940E3A" w:rsidRDefault="000E36B8" w:rsidP="00DB1D87">
      <w:pPr>
        <w:pStyle w:val="FootnoteText"/>
        <w:jc w:val="both"/>
        <w:rPr>
          <w:u w:val="single"/>
          <w:lang w:val="pt-BR"/>
        </w:rPr>
      </w:pPr>
      <w:r w:rsidRPr="00940E3A">
        <w:rPr>
          <w:rStyle w:val="FootnoteReference"/>
          <w:u w:val="single"/>
        </w:rPr>
        <w:footnoteRef/>
      </w:r>
      <w:r w:rsidRPr="00940E3A">
        <w:rPr>
          <w:u w:val="single"/>
          <w:lang w:val="pt-BR"/>
        </w:rPr>
        <w:t xml:space="preserve"> </w:t>
      </w:r>
      <w:r w:rsidRPr="00940E3A">
        <w:rPr>
          <w:rFonts w:eastAsia="Arial Unicode MS"/>
          <w:bCs/>
          <w:u w:val="single"/>
          <w:lang w:val="da-DK"/>
        </w:rPr>
        <w:t>Đến nay, 77 ngân hàng, chi nhánh ngân hàng nước ngoài đã áp dụng Thông tư số 41/2016/TT-NHNN, trong đó 18 TCTD đã được NHNN chấp thuận áp dụng trước thời hạn tỷ lệ an toàn vốn theo Thông tư 41/2016/TT-NHNN.</w:t>
      </w:r>
    </w:p>
  </w:footnote>
  <w:footnote w:id="15">
    <w:p w14:paraId="3E93CC87" w14:textId="77777777" w:rsidR="000E36B8" w:rsidRPr="00940E3A" w:rsidRDefault="000E36B8" w:rsidP="00DB1D87">
      <w:pPr>
        <w:pStyle w:val="FootnoteText"/>
        <w:jc w:val="both"/>
        <w:rPr>
          <w:lang w:val="pt-BR"/>
        </w:rPr>
      </w:pPr>
      <w:r w:rsidRPr="00940E3A">
        <w:rPr>
          <w:rStyle w:val="FootnoteReference"/>
        </w:rPr>
        <w:footnoteRef/>
      </w:r>
      <w:r w:rsidRPr="00940E3A">
        <w:rPr>
          <w:lang w:val="pt-BR"/>
        </w:rPr>
        <w:t xml:space="preserve"> Gồm: NHTMCP Á Châu - Công ty cổ phần Bất động sản Hòa Phát - Á Châu (tỷ lệ sở hữu của NHTMCP Á Châu  tại Công ty cổ phần Bất động sản Hòa Phát - Á Châu là 2,86% và ngược lại là 0,046%).</w:t>
      </w:r>
    </w:p>
  </w:footnote>
  <w:footnote w:id="16">
    <w:p w14:paraId="318397C6" w14:textId="77777777" w:rsidR="000E36B8" w:rsidRPr="00940E3A" w:rsidRDefault="000E36B8" w:rsidP="00DB1D87">
      <w:pPr>
        <w:pStyle w:val="FootnoteText"/>
        <w:jc w:val="both"/>
        <w:rPr>
          <w:lang w:val="pt-BR"/>
        </w:rPr>
      </w:pPr>
      <w:r w:rsidRPr="00940E3A">
        <w:rPr>
          <w:rStyle w:val="FootnoteReference"/>
        </w:rPr>
        <w:footnoteRef/>
      </w:r>
      <w:r w:rsidRPr="00940E3A">
        <w:rPr>
          <w:lang w:val="pt-BR"/>
        </w:rPr>
        <w:t xml:space="preserve"> N</w:t>
      </w:r>
      <w:r w:rsidRPr="00940E3A">
        <w:rPr>
          <w:shd w:val="clear" w:color="auto" w:fill="FFFFFF"/>
          <w:lang w:val="sv-SE"/>
        </w:rPr>
        <w:t xml:space="preserve">ăm 2019 xử lý được </w:t>
      </w:r>
      <w:r w:rsidRPr="00940E3A">
        <w:rPr>
          <w:shd w:val="clear" w:color="auto" w:fill="FFFFFF"/>
          <w:lang w:val="it-IT" w:eastAsia="zh-CN"/>
        </w:rPr>
        <w:t xml:space="preserve">159,7 nghìn tỷ </w:t>
      </w:r>
      <w:r w:rsidRPr="00940E3A">
        <w:rPr>
          <w:shd w:val="clear" w:color="auto" w:fill="FFFFFF"/>
          <w:lang w:val="sv-SE"/>
        </w:rPr>
        <w:t xml:space="preserve">đồng; </w:t>
      </w:r>
      <w:r w:rsidRPr="00940E3A">
        <w:rPr>
          <w:lang w:val="pt-BR"/>
        </w:rPr>
        <w:t>N</w:t>
      </w:r>
      <w:r w:rsidRPr="00940E3A">
        <w:rPr>
          <w:shd w:val="clear" w:color="auto" w:fill="FFFFFF"/>
          <w:lang w:val="sv-SE"/>
        </w:rPr>
        <w:t xml:space="preserve">ăm 2018 xử lý được </w:t>
      </w:r>
      <w:r w:rsidRPr="00940E3A">
        <w:rPr>
          <w:shd w:val="clear" w:color="auto" w:fill="FFFFFF"/>
          <w:lang w:val="it-IT" w:eastAsia="zh-CN"/>
        </w:rPr>
        <w:t xml:space="preserve">163,1 nghìn tỷ </w:t>
      </w:r>
      <w:r w:rsidRPr="00940E3A">
        <w:rPr>
          <w:shd w:val="clear" w:color="auto" w:fill="FFFFFF"/>
          <w:lang w:val="sv-SE"/>
        </w:rPr>
        <w:t xml:space="preserve">đồng; </w:t>
      </w:r>
      <w:r w:rsidRPr="00940E3A">
        <w:rPr>
          <w:lang w:val="pt-BR"/>
        </w:rPr>
        <w:t>N</w:t>
      </w:r>
      <w:r w:rsidRPr="00940E3A">
        <w:rPr>
          <w:shd w:val="clear" w:color="auto" w:fill="FFFFFF"/>
          <w:lang w:val="sv-SE"/>
        </w:rPr>
        <w:t xml:space="preserve">ăm 2017 xử lý được </w:t>
      </w:r>
      <w:r w:rsidRPr="00940E3A">
        <w:rPr>
          <w:shd w:val="clear" w:color="auto" w:fill="FFFFFF"/>
          <w:lang w:val="it-IT" w:eastAsia="zh-CN"/>
        </w:rPr>
        <w:t xml:space="preserve">115,5 nghìn tỷ </w:t>
      </w:r>
      <w:r w:rsidRPr="00940E3A">
        <w:rPr>
          <w:shd w:val="clear" w:color="auto" w:fill="FFFFFF"/>
          <w:lang w:val="sv-SE"/>
        </w:rPr>
        <w:t xml:space="preserve">đồng; </w:t>
      </w:r>
      <w:r w:rsidRPr="00940E3A">
        <w:rPr>
          <w:lang w:val="pt-BR"/>
        </w:rPr>
        <w:t>N</w:t>
      </w:r>
      <w:r w:rsidRPr="00940E3A">
        <w:rPr>
          <w:shd w:val="clear" w:color="auto" w:fill="FFFFFF"/>
          <w:lang w:val="sv-SE"/>
        </w:rPr>
        <w:t xml:space="preserve">ăm 2016 xử lý được </w:t>
      </w:r>
      <w:r w:rsidRPr="00940E3A">
        <w:rPr>
          <w:shd w:val="clear" w:color="auto" w:fill="FFFFFF"/>
          <w:lang w:val="it-IT" w:eastAsia="zh-CN"/>
        </w:rPr>
        <w:t xml:space="preserve">118,5 nghìn tỷ </w:t>
      </w:r>
      <w:r w:rsidRPr="00940E3A">
        <w:rPr>
          <w:shd w:val="clear" w:color="auto" w:fill="FFFFFF"/>
          <w:lang w:val="sv-SE"/>
        </w:rPr>
        <w:t>đồng.</w:t>
      </w:r>
    </w:p>
  </w:footnote>
  <w:footnote w:id="17">
    <w:p w14:paraId="20624B57" w14:textId="77777777" w:rsidR="000E36B8" w:rsidRPr="00940E3A" w:rsidRDefault="000E36B8" w:rsidP="00DB1D87">
      <w:pPr>
        <w:pStyle w:val="FootnoteText"/>
        <w:jc w:val="both"/>
        <w:rPr>
          <w:lang w:val="pt-BR"/>
        </w:rPr>
      </w:pPr>
      <w:r w:rsidRPr="00940E3A">
        <w:rPr>
          <w:rStyle w:val="FootnoteReference"/>
        </w:rPr>
        <w:footnoteRef/>
      </w:r>
      <w:r w:rsidRPr="00940E3A">
        <w:rPr>
          <w:lang w:val="pt-BR"/>
        </w:rPr>
        <w:t xml:space="preserve"> </w:t>
      </w:r>
      <w:r w:rsidRPr="00940E3A">
        <w:rPr>
          <w:shd w:val="clear" w:color="auto" w:fill="FFFFFF"/>
          <w:lang w:val="sv-SE"/>
        </w:rPr>
        <w:t>Trong đó, n</w:t>
      </w:r>
      <w:r w:rsidRPr="00940E3A">
        <w:rPr>
          <w:shd w:val="clear" w:color="auto" w:fill="FFFFFF"/>
          <w:lang w:val="it-IT" w:eastAsia="zh-CN"/>
        </w:rPr>
        <w:t xml:space="preserve">ợ xấu do các TCTD tự xử lý là </w:t>
      </w:r>
      <w:r w:rsidRPr="00940E3A">
        <w:rPr>
          <w:u w:val="single"/>
          <w:shd w:val="clear" w:color="auto" w:fill="FFFFFF"/>
          <w:lang w:val="it-IT" w:eastAsia="zh-CN"/>
        </w:rPr>
        <w:t>510,49</w:t>
      </w:r>
      <w:r w:rsidRPr="00940E3A">
        <w:rPr>
          <w:shd w:val="clear" w:color="auto" w:fill="FFFFFF"/>
          <w:lang w:val="it-IT" w:eastAsia="zh-CN"/>
        </w:rPr>
        <w:t xml:space="preserve"> nghìn tỷ đồng, chiếm </w:t>
      </w:r>
      <w:r w:rsidRPr="00940E3A">
        <w:rPr>
          <w:u w:val="single"/>
          <w:shd w:val="clear" w:color="auto" w:fill="FFFFFF"/>
          <w:lang w:val="it-IT" w:eastAsia="zh-CN"/>
        </w:rPr>
        <w:t>79,02%</w:t>
      </w:r>
      <w:r w:rsidRPr="00940E3A">
        <w:rPr>
          <w:shd w:val="clear" w:color="auto" w:fill="FFFFFF"/>
          <w:lang w:val="it-IT" w:eastAsia="zh-CN"/>
        </w:rPr>
        <w:t xml:space="preserve">  tổng nợ xấu xử lý; nợ xấu bán cho VAMC là </w:t>
      </w:r>
      <w:r w:rsidRPr="00940E3A">
        <w:rPr>
          <w:u w:val="single"/>
          <w:shd w:val="clear" w:color="auto" w:fill="FFFFFF"/>
          <w:lang w:val="it-IT" w:eastAsia="zh-CN"/>
        </w:rPr>
        <w:t>126,32</w:t>
      </w:r>
      <w:r w:rsidRPr="00940E3A">
        <w:rPr>
          <w:shd w:val="clear" w:color="auto" w:fill="FFFFFF"/>
          <w:lang w:val="it-IT" w:eastAsia="zh-CN"/>
        </w:rPr>
        <w:t xml:space="preserve"> nghìn tỷ đồng, chiếm </w:t>
      </w:r>
      <w:r w:rsidRPr="00940E3A">
        <w:rPr>
          <w:u w:val="single"/>
          <w:shd w:val="clear" w:color="auto" w:fill="FFFFFF"/>
          <w:lang w:val="it-IT" w:eastAsia="zh-CN"/>
        </w:rPr>
        <w:t>19,55%</w:t>
      </w:r>
      <w:r w:rsidRPr="00940E3A">
        <w:rPr>
          <w:shd w:val="clear" w:color="auto" w:fill="FFFFFF"/>
          <w:lang w:val="it-IT" w:eastAsia="zh-CN"/>
        </w:rPr>
        <w:t xml:space="preserve">  tổng nợ xấu xử lý</w:t>
      </w:r>
      <w:r>
        <w:rPr>
          <w:shd w:val="clear" w:color="auto" w:fill="FFFFFF"/>
          <w:lang w:val="it-IT" w:eastAsia="zh-CN"/>
        </w:rPr>
        <w:t>.</w:t>
      </w:r>
    </w:p>
  </w:footnote>
  <w:footnote w:id="18">
    <w:p w14:paraId="75F11C39" w14:textId="77777777" w:rsidR="000E36B8" w:rsidRPr="00940E3A" w:rsidRDefault="000E36B8" w:rsidP="00DB1D87">
      <w:pPr>
        <w:pStyle w:val="FootnoteText"/>
        <w:jc w:val="both"/>
        <w:rPr>
          <w:lang w:val="es-NI"/>
        </w:rPr>
      </w:pPr>
      <w:r w:rsidRPr="00940E3A">
        <w:rPr>
          <w:rStyle w:val="FootnoteReference"/>
        </w:rPr>
        <w:footnoteRef/>
      </w:r>
      <w:r w:rsidRPr="00940E3A">
        <w:rPr>
          <w:lang w:val="es-NI"/>
        </w:rPr>
        <w:t xml:space="preserve"> </w:t>
      </w:r>
      <w:r w:rsidRPr="00940E3A">
        <w:rPr>
          <w:lang w:val="da-DK"/>
        </w:rPr>
        <w:t>Không bao gồm nợ xấu xử lý bằng sử dụng dự phòng rủi ro.</w:t>
      </w:r>
    </w:p>
  </w:footnote>
  <w:footnote w:id="19">
    <w:p w14:paraId="1ECCC9EA" w14:textId="77777777" w:rsidR="000E36B8" w:rsidRPr="004E7069" w:rsidRDefault="000E36B8" w:rsidP="00BA3835">
      <w:pPr>
        <w:pStyle w:val="FootnoteText"/>
      </w:pPr>
      <w:r w:rsidRPr="004E7069">
        <w:rPr>
          <w:rStyle w:val="FootnoteReference"/>
        </w:rPr>
        <w:footnoteRef/>
      </w:r>
      <w:r w:rsidRPr="004E7069">
        <w:t xml:space="preserve"> Quyết định số 44/QĐ-BXD ngày 14/01/2020 của Bộ trưởng Bộ Xây dựng</w:t>
      </w:r>
    </w:p>
  </w:footnote>
  <w:footnote w:id="20">
    <w:p w14:paraId="7976E3AB" w14:textId="77777777" w:rsidR="000E36B8" w:rsidRPr="005D41A8" w:rsidRDefault="000E36B8" w:rsidP="0068087D">
      <w:pPr>
        <w:pStyle w:val="FootnoteText"/>
        <w:ind w:firstLine="567"/>
        <w:jc w:val="both"/>
        <w:rPr>
          <w:color w:val="000000"/>
          <w:spacing w:val="-4"/>
          <w:lang w:val="it-IT"/>
        </w:rPr>
      </w:pPr>
      <w:r w:rsidRPr="005D41A8">
        <w:rPr>
          <w:rStyle w:val="FootnoteReference"/>
          <w:color w:val="000000"/>
        </w:rPr>
        <w:footnoteRef/>
      </w:r>
      <w:r w:rsidRPr="005D41A8">
        <w:rPr>
          <w:color w:val="000000"/>
          <w:lang w:val="it-IT"/>
        </w:rPr>
        <w:t xml:space="preserve"> </w:t>
      </w:r>
      <w:r w:rsidRPr="005D41A8">
        <w:rPr>
          <w:color w:val="000000"/>
          <w:spacing w:val="-4"/>
          <w:lang w:val="it-IT"/>
        </w:rPr>
        <w:t>Thái Bình, Nam Định, Hà Nam, Hưng Yên, Vĩnh Phúc, Đà Nẵng, Bình Dương, Đồng Nai, Cần Thơ</w:t>
      </w:r>
    </w:p>
  </w:footnote>
  <w:footnote w:id="21">
    <w:p w14:paraId="2A7083A6" w14:textId="77777777" w:rsidR="000E36B8" w:rsidRPr="00922E4D" w:rsidRDefault="000E36B8">
      <w:pPr>
        <w:rPr>
          <w:lang w:val="es-NI"/>
        </w:rPr>
      </w:pPr>
    </w:p>
    <w:p w14:paraId="1A32A69D" w14:textId="77777777" w:rsidR="000E36B8" w:rsidRPr="00922E4D" w:rsidRDefault="000E36B8" w:rsidP="003B4CE9">
      <w:pPr>
        <w:ind w:firstLine="567"/>
        <w:jc w:val="both"/>
        <w:rPr>
          <w:rFonts w:asciiTheme="majorHAnsi" w:hAnsiTheme="majorHAnsi" w:cstheme="majorHAnsi"/>
          <w:sz w:val="20"/>
          <w:szCs w:val="20"/>
          <w:lang w:val="es-NI"/>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4100639"/>
      <w:docPartObj>
        <w:docPartGallery w:val="Page Numbers (Top of Page)"/>
        <w:docPartUnique/>
      </w:docPartObj>
    </w:sdtPr>
    <w:sdtEndPr>
      <w:rPr>
        <w:noProof/>
      </w:rPr>
    </w:sdtEndPr>
    <w:sdtContent>
      <w:p w14:paraId="5DCA4D10" w14:textId="14338505" w:rsidR="00607F3A" w:rsidRDefault="00607F3A">
        <w:pPr>
          <w:pStyle w:val="Header"/>
          <w:jc w:val="center"/>
        </w:pPr>
        <w:r>
          <w:fldChar w:fldCharType="begin"/>
        </w:r>
        <w:r>
          <w:instrText xml:space="preserve"> PAGE   \* MERGEFORMAT </w:instrText>
        </w:r>
        <w:r>
          <w:fldChar w:fldCharType="separate"/>
        </w:r>
        <w:r w:rsidR="00F651AE">
          <w:rPr>
            <w:noProof/>
          </w:rPr>
          <w:t>21</w:t>
        </w:r>
        <w:r>
          <w:rPr>
            <w:noProof/>
          </w:rPr>
          <w:fldChar w:fldCharType="end"/>
        </w:r>
      </w:p>
    </w:sdtContent>
  </w:sdt>
  <w:p w14:paraId="1BB39D2D" w14:textId="77777777" w:rsidR="00607F3A" w:rsidRDefault="00607F3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F90897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0A5AA8"/>
    <w:multiLevelType w:val="hybridMultilevel"/>
    <w:tmpl w:val="E8B86B74"/>
    <w:lvl w:ilvl="0" w:tplc="FB964AE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08E5D69"/>
    <w:multiLevelType w:val="multilevel"/>
    <w:tmpl w:val="7560792E"/>
    <w:styleLink w:val="StyleBulletedSymbolsymbolLeft025Hanging0251"/>
    <w:lvl w:ilvl="0">
      <w:start w:val="1"/>
      <w:numFmt w:val="bullet"/>
      <w:lvlText w:val=""/>
      <w:lvlJc w:val="left"/>
      <w:pPr>
        <w:tabs>
          <w:tab w:val="num" w:pos="720"/>
        </w:tabs>
        <w:ind w:left="720" w:hanging="360"/>
      </w:pPr>
      <w:rPr>
        <w:rFonts w:ascii="Symbol" w:hAnsi="Symbol"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364AF"/>
    <w:multiLevelType w:val="hybridMultilevel"/>
    <w:tmpl w:val="C48A870C"/>
    <w:lvl w:ilvl="0" w:tplc="A27AD174">
      <w:start w:val="3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4912DEF"/>
    <w:multiLevelType w:val="hybridMultilevel"/>
    <w:tmpl w:val="78AE2A36"/>
    <w:lvl w:ilvl="0" w:tplc="B906C7E8">
      <w:start w:val="1"/>
      <w:numFmt w:val="decimal"/>
      <w:pStyle w:val="Equation"/>
      <w:lvlText w:val="(%1)"/>
      <w:lvlJc w:val="left"/>
      <w:pPr>
        <w:tabs>
          <w:tab w:val="num" w:pos="1134"/>
        </w:tabs>
        <w:ind w:left="113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F55326"/>
    <w:multiLevelType w:val="hybridMultilevel"/>
    <w:tmpl w:val="F356DE9A"/>
    <w:lvl w:ilvl="0" w:tplc="8A567E4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B4999"/>
    <w:multiLevelType w:val="hybridMultilevel"/>
    <w:tmpl w:val="06508E52"/>
    <w:lvl w:ilvl="0" w:tplc="2D0ED54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DF9218F"/>
    <w:multiLevelType w:val="hybridMultilevel"/>
    <w:tmpl w:val="38FA2528"/>
    <w:lvl w:ilvl="0" w:tplc="10AE5188">
      <w:start w:val="3"/>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31A30593"/>
    <w:multiLevelType w:val="hybridMultilevel"/>
    <w:tmpl w:val="9D1CCE40"/>
    <w:lvl w:ilvl="0" w:tplc="4F000386">
      <w:start w:val="1"/>
      <w:numFmt w:val="upp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3CE31B6B"/>
    <w:multiLevelType w:val="hybridMultilevel"/>
    <w:tmpl w:val="E34A3978"/>
    <w:lvl w:ilvl="0" w:tplc="A1E093C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3DFB7D4A"/>
    <w:multiLevelType w:val="hybridMultilevel"/>
    <w:tmpl w:val="F5625146"/>
    <w:lvl w:ilvl="0" w:tplc="1E609014">
      <w:start w:val="1"/>
      <w:numFmt w:val="bullet"/>
      <w:lvlText w:val="-"/>
      <w:lvlJc w:val="left"/>
      <w:pPr>
        <w:ind w:left="927" w:hanging="360"/>
      </w:pPr>
      <w:rPr>
        <w:rFonts w:ascii="Times New Roman" w:eastAsia="Batang"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40C91763"/>
    <w:multiLevelType w:val="hybridMultilevel"/>
    <w:tmpl w:val="3FE230A0"/>
    <w:lvl w:ilvl="0" w:tplc="204C765C">
      <w:numFmt w:val="bullet"/>
      <w:lvlText w:val="-"/>
      <w:lvlJc w:val="left"/>
      <w:pPr>
        <w:ind w:left="927" w:hanging="360"/>
      </w:pPr>
      <w:rPr>
        <w:rFonts w:ascii="Times New Roman" w:eastAsia="Batang"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41906189"/>
    <w:multiLevelType w:val="multilevel"/>
    <w:tmpl w:val="18CE0B68"/>
    <w:styleLink w:val="Style2"/>
    <w:lvl w:ilvl="0">
      <w:start w:val="1"/>
      <w:numFmt w:val="upperRoman"/>
      <w:lvlText w:val="%1."/>
      <w:lvlJc w:val="left"/>
      <w:pPr>
        <w:ind w:left="0" w:firstLine="0"/>
      </w:pPr>
      <w:rPr>
        <w:rFonts w:hint="default"/>
        <w:b/>
        <w:i w:val="0"/>
      </w:rPr>
    </w:lvl>
    <w:lvl w:ilvl="1">
      <w:start w:val="1"/>
      <w:numFmt w:val="decimal"/>
      <w:lvlText w:val="%2."/>
      <w:lvlJc w:val="left"/>
      <w:pPr>
        <w:tabs>
          <w:tab w:val="num" w:pos="720"/>
        </w:tabs>
        <w:ind w:left="720" w:hanging="720"/>
      </w:pPr>
      <w:rPr>
        <w:rFonts w:hint="default"/>
        <w:b/>
        <w:i w:val="0"/>
      </w:rPr>
    </w:lvl>
    <w:lvl w:ilvl="2">
      <w:start w:val="1"/>
      <w:numFmt w:val="decimal"/>
      <w:lvlText w:val="%2.%3."/>
      <w:lvlJc w:val="left"/>
      <w:pPr>
        <w:ind w:left="720" w:hanging="720"/>
      </w:pPr>
      <w:rPr>
        <w:rFonts w:hint="default"/>
        <w:b/>
        <w:i/>
      </w:rPr>
    </w:lvl>
    <w:lvl w:ilvl="3">
      <w:start w:val="1"/>
      <w:numFmt w:val="lowerLetter"/>
      <w:lvlText w:val="%4)"/>
      <w:lvlJc w:val="left"/>
      <w:pPr>
        <w:tabs>
          <w:tab w:val="num" w:pos="1800"/>
        </w:tabs>
        <w:ind w:left="720" w:firstLine="0"/>
      </w:pPr>
      <w:rPr>
        <w:rFonts w:hint="default"/>
        <w:b w:val="0"/>
        <w:i/>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42863F58"/>
    <w:multiLevelType w:val="multilevel"/>
    <w:tmpl w:val="10643634"/>
    <w:lvl w:ilvl="0">
      <w:start w:val="1"/>
      <w:numFmt w:val="decimal"/>
      <w:lvlText w:val="%1."/>
      <w:lvlJc w:val="left"/>
      <w:pPr>
        <w:ind w:left="360" w:hanging="360"/>
      </w:pPr>
    </w:lvl>
    <w:lvl w:ilvl="1">
      <w:start w:val="6"/>
      <w:numFmt w:val="decimal"/>
      <w:isLgl/>
      <w:lvlText w:val="%1.%2."/>
      <w:lvlJc w:val="left"/>
      <w:pPr>
        <w:ind w:left="1287"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769" w:hanging="1800"/>
      </w:pPr>
      <w:rPr>
        <w:rFonts w:hint="default"/>
      </w:rPr>
    </w:lvl>
    <w:lvl w:ilvl="8">
      <w:start w:val="1"/>
      <w:numFmt w:val="decimal"/>
      <w:isLgl/>
      <w:lvlText w:val="%1.%2.%3.%4.%5.%6.%7.%8.%9."/>
      <w:lvlJc w:val="left"/>
      <w:pPr>
        <w:ind w:left="6696" w:hanging="2160"/>
      </w:pPr>
      <w:rPr>
        <w:rFonts w:hint="default"/>
      </w:rPr>
    </w:lvl>
  </w:abstractNum>
  <w:abstractNum w:abstractNumId="14" w15:restartNumberingAfterBreak="0">
    <w:nsid w:val="463C1F8D"/>
    <w:multiLevelType w:val="multilevel"/>
    <w:tmpl w:val="425891DC"/>
    <w:styleLink w:val="StyleOutlinenumberedCourierNewLeft075Hanging025"/>
    <w:lvl w:ilvl="0">
      <w:start w:val="1"/>
      <w:numFmt w:val="bullet"/>
      <w:lvlText w:val="o"/>
      <w:lvlJc w:val="left"/>
      <w:pPr>
        <w:tabs>
          <w:tab w:val="num" w:pos="1080"/>
        </w:tabs>
        <w:ind w:left="1080" w:hanging="360"/>
      </w:pPr>
      <w:rPr>
        <w:rFonts w:ascii="Courier New" w:hAnsi="Courier New" w:hint="default"/>
        <w:sz w:val="28"/>
      </w:rPr>
    </w:lvl>
    <w:lvl w:ilvl="1">
      <w:start w:val="1"/>
      <w:numFmt w:val="bullet"/>
      <w:lvlText w:val=""/>
      <w:lvlJc w:val="left"/>
      <w:pPr>
        <w:tabs>
          <w:tab w:val="num" w:pos="1440"/>
        </w:tabs>
        <w:ind w:left="1440" w:hanging="360"/>
      </w:pPr>
      <w:rPr>
        <w:rFonts w:ascii="Wingdings" w:hAnsi="Wingdings" w:hint="default"/>
        <w:sz w:val="28"/>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F161C8"/>
    <w:multiLevelType w:val="hybridMultilevel"/>
    <w:tmpl w:val="C5C817AA"/>
    <w:lvl w:ilvl="0" w:tplc="56AECB0A">
      <w:start w:val="1"/>
      <w:numFmt w:val="decimal"/>
      <w:lvlText w:val="%1."/>
      <w:lvlJc w:val="left"/>
      <w:pPr>
        <w:ind w:left="720" w:hanging="360"/>
      </w:pPr>
      <w:rPr>
        <w:b w:val="0"/>
        <w:i w:val="0"/>
      </w:rPr>
    </w:lvl>
    <w:lvl w:ilvl="1" w:tplc="04090001">
      <w:start w:val="1"/>
      <w:numFmt w:val="bullet"/>
      <w:lvlText w:val=""/>
      <w:lvlJc w:val="left"/>
      <w:pPr>
        <w:ind w:left="1440" w:hanging="360"/>
      </w:pPr>
      <w:rPr>
        <w:rFonts w:ascii="Symbol" w:hAnsi="Symbol" w:hint="default"/>
      </w:rPr>
    </w:lvl>
    <w:lvl w:ilvl="2" w:tplc="DABACDF2">
      <w:numFmt w:val="bullet"/>
      <w:lvlText w:val="-"/>
      <w:lvlJc w:val="left"/>
      <w:pPr>
        <w:ind w:left="2340" w:hanging="360"/>
      </w:pPr>
      <w:rPr>
        <w:rFonts w:ascii="Times New Roman" w:eastAsiaTheme="minorHAnsi"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2A610F"/>
    <w:multiLevelType w:val="hybridMultilevel"/>
    <w:tmpl w:val="6DCA4886"/>
    <w:lvl w:ilvl="0" w:tplc="54ACB9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A80679A"/>
    <w:multiLevelType w:val="hybridMultilevel"/>
    <w:tmpl w:val="860017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C076769"/>
    <w:multiLevelType w:val="hybridMultilevel"/>
    <w:tmpl w:val="ECD065C0"/>
    <w:lvl w:ilvl="0" w:tplc="F3F6A982">
      <w:start w:val="1"/>
      <w:numFmt w:val="decimal"/>
      <w:pStyle w:val="Figure"/>
      <w:lvlText w:val="Hình %1"/>
      <w:lvlJc w:val="left"/>
      <w:pPr>
        <w:tabs>
          <w:tab w:val="num" w:pos="1080"/>
        </w:tabs>
        <w:ind w:left="567" w:hanging="567"/>
      </w:pPr>
      <w:rPr>
        <w:rFonts w:ascii="Times New Roman" w:hAnsi="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5A6651"/>
    <w:multiLevelType w:val="hybridMultilevel"/>
    <w:tmpl w:val="F00A6FD2"/>
    <w:lvl w:ilvl="0" w:tplc="080E69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222DD"/>
    <w:multiLevelType w:val="hybridMultilevel"/>
    <w:tmpl w:val="5F608192"/>
    <w:lvl w:ilvl="0" w:tplc="1A2C4B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662FE1"/>
    <w:multiLevelType w:val="hybridMultilevel"/>
    <w:tmpl w:val="FF9C87CC"/>
    <w:lvl w:ilvl="0" w:tplc="A1024B9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6FE26C0"/>
    <w:multiLevelType w:val="hybridMultilevel"/>
    <w:tmpl w:val="702E1DA4"/>
    <w:lvl w:ilvl="0" w:tplc="532293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A175D77"/>
    <w:multiLevelType w:val="multilevel"/>
    <w:tmpl w:val="7DD4C43A"/>
    <w:styleLink w:val="StyleBulleted"/>
    <w:lvl w:ilvl="0">
      <w:start w:val="1"/>
      <w:numFmt w:val="bullet"/>
      <w:lvlText w:val=""/>
      <w:lvlJc w:val="left"/>
      <w:pPr>
        <w:tabs>
          <w:tab w:val="num" w:pos="360"/>
        </w:tabs>
        <w:ind w:left="720" w:hanging="360"/>
      </w:pPr>
      <w:rPr>
        <w:rFonts w:ascii="Wingdings" w:hAnsi="Wingdings" w:hint="default"/>
      </w:rPr>
    </w:lvl>
    <w:lvl w:ilvl="1">
      <w:start w:val="1"/>
      <w:numFmt w:val="bullet"/>
      <w:lvlText w:val=""/>
      <w:lvlJc w:val="left"/>
      <w:pPr>
        <w:tabs>
          <w:tab w:val="num" w:pos="1440"/>
        </w:tabs>
        <w:ind w:left="1440" w:hanging="360"/>
      </w:pPr>
      <w:rPr>
        <w:rFonts w:ascii="Symbol" w:hAnsi="Symbol" w:hint="default"/>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C3F27A5"/>
    <w:multiLevelType w:val="hybridMultilevel"/>
    <w:tmpl w:val="9BEC177A"/>
    <w:lvl w:ilvl="0" w:tplc="4E1C16CA">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D4B86"/>
    <w:multiLevelType w:val="multilevel"/>
    <w:tmpl w:val="E4EA943E"/>
    <w:styleLink w:val="StyleBulletedSymbolsymbolLeft05Hanging0251"/>
    <w:lvl w:ilvl="0">
      <w:start w:val="1"/>
      <w:numFmt w:val="bullet"/>
      <w:lvlText w:val=""/>
      <w:lvlJc w:val="left"/>
      <w:pPr>
        <w:tabs>
          <w:tab w:val="num" w:pos="1080"/>
        </w:tabs>
        <w:ind w:left="1080" w:hanging="360"/>
      </w:pPr>
      <w:rPr>
        <w:rFonts w:ascii="Wingdings" w:hAnsi="Wingdings" w:hint="default"/>
        <w:sz w:val="28"/>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6F7F1D5C"/>
    <w:multiLevelType w:val="multilevel"/>
    <w:tmpl w:val="34702EA0"/>
    <w:styleLink w:val="StyleBulletedSymbolsymbolLeft025Hanging025"/>
    <w:lvl w:ilvl="0">
      <w:start w:val="1"/>
      <w:numFmt w:val="bullet"/>
      <w:lvlText w:val=""/>
      <w:lvlJc w:val="left"/>
      <w:pPr>
        <w:tabs>
          <w:tab w:val="num" w:pos="1080"/>
        </w:tabs>
        <w:ind w:left="1080" w:hanging="360"/>
      </w:pPr>
      <w:rPr>
        <w:rFonts w:ascii="Symbol" w:hAnsi="Symbol"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505171"/>
    <w:multiLevelType w:val="hybridMultilevel"/>
    <w:tmpl w:val="7CF41E64"/>
    <w:lvl w:ilvl="0" w:tplc="4802F4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C7F6CCA"/>
    <w:multiLevelType w:val="hybridMultilevel"/>
    <w:tmpl w:val="67CA119C"/>
    <w:lvl w:ilvl="0" w:tplc="EE6C6436">
      <w:start w:val="1"/>
      <w:numFmt w:val="bullet"/>
      <w:pStyle w:val="1Normal"/>
      <w:lvlText w:val="-"/>
      <w:lvlJc w:val="left"/>
      <w:pPr>
        <w:ind w:left="786" w:hanging="360"/>
      </w:pPr>
      <w:rPr>
        <w:rFonts w:ascii="Times New Roman" w:eastAsia="Batang" w:hAnsi="Times New Roman" w:cs="Times New Roman"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29" w15:restartNumberingAfterBreak="0">
    <w:nsid w:val="7CBE4C6F"/>
    <w:multiLevelType w:val="multilevel"/>
    <w:tmpl w:val="721C38B4"/>
    <w:lvl w:ilvl="0">
      <w:start w:val="1"/>
      <w:numFmt w:val="decimal"/>
      <w:lvlText w:val="CHƯƠNG %1"/>
      <w:lvlJc w:val="left"/>
      <w:pPr>
        <w:tabs>
          <w:tab w:val="num" w:pos="1092"/>
        </w:tabs>
        <w:ind w:left="1092" w:hanging="432"/>
      </w:pPr>
      <w:rPr>
        <w:rFonts w:hint="default"/>
      </w:rPr>
    </w:lvl>
    <w:lvl w:ilvl="1">
      <w:start w:val="1"/>
      <w:numFmt w:val="decimal"/>
      <w:lvlText w:val="%1.%2"/>
      <w:lvlJc w:val="left"/>
      <w:pPr>
        <w:tabs>
          <w:tab w:val="num" w:pos="1236"/>
        </w:tabs>
        <w:ind w:left="720"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
      <w:lvlJc w:val="left"/>
      <w:pPr>
        <w:tabs>
          <w:tab w:val="num" w:pos="1440"/>
        </w:tabs>
        <w:ind w:left="720" w:hanging="720"/>
      </w:pPr>
      <w:rPr>
        <w:rFonts w:hint="default"/>
        <w:b/>
        <w:i/>
      </w:rPr>
    </w:lvl>
    <w:lvl w:ilvl="3">
      <w:start w:val="1"/>
      <w:numFmt w:val="decimal"/>
      <w:lvlText w:val="%1.%2.%3.%4. "/>
      <w:lvlJc w:val="left"/>
      <w:pPr>
        <w:tabs>
          <w:tab w:val="num" w:pos="1524"/>
        </w:tabs>
        <w:ind w:left="720" w:firstLine="0"/>
      </w:pPr>
      <w:rPr>
        <w:rFonts w:hint="default"/>
        <w:b w:val="0"/>
        <w:i/>
      </w:rPr>
    </w:lvl>
    <w:lvl w:ilvl="4">
      <w:start w:val="1"/>
      <w:numFmt w:val="lowerLetter"/>
      <w:lvlText w:val="%5)"/>
      <w:lvlJc w:val="left"/>
      <w:pPr>
        <w:tabs>
          <w:tab w:val="num" w:pos="720"/>
        </w:tabs>
        <w:ind w:left="720" w:firstLine="0"/>
      </w:pPr>
      <w:rPr>
        <w:rFonts w:ascii="Times New Roman" w:hAnsi="Times New Roman" w:hint="default"/>
        <w:b w:val="0"/>
        <w:i w:val="0"/>
      </w:rPr>
    </w:lvl>
    <w:lvl w:ilvl="5">
      <w:start w:val="1"/>
      <w:numFmt w:val="decimal"/>
      <w:pStyle w:val="Heading6"/>
      <w:lvlText w:val="%1.%2.%3.%4.%5.%6"/>
      <w:lvlJc w:val="left"/>
      <w:pPr>
        <w:tabs>
          <w:tab w:val="num" w:pos="1812"/>
        </w:tabs>
        <w:ind w:left="1812" w:hanging="1152"/>
      </w:pPr>
      <w:rPr>
        <w:rFonts w:hint="default"/>
      </w:rPr>
    </w:lvl>
    <w:lvl w:ilvl="6">
      <w:start w:val="1"/>
      <w:numFmt w:val="decimal"/>
      <w:pStyle w:val="Heading7"/>
      <w:lvlText w:val="%1.%2.%3.%4.%5.%6.%7"/>
      <w:lvlJc w:val="left"/>
      <w:pPr>
        <w:tabs>
          <w:tab w:val="num" w:pos="1956"/>
        </w:tabs>
        <w:ind w:left="1956" w:hanging="1296"/>
      </w:pPr>
      <w:rPr>
        <w:rFonts w:hint="default"/>
      </w:rPr>
    </w:lvl>
    <w:lvl w:ilvl="7">
      <w:start w:val="1"/>
      <w:numFmt w:val="decimal"/>
      <w:pStyle w:val="Heading8"/>
      <w:lvlText w:val="%1.%2.%3.%4.%5.%6.%7.%8"/>
      <w:lvlJc w:val="left"/>
      <w:pPr>
        <w:tabs>
          <w:tab w:val="num" w:pos="2100"/>
        </w:tabs>
        <w:ind w:left="2100" w:hanging="1440"/>
      </w:pPr>
      <w:rPr>
        <w:rFonts w:hint="default"/>
      </w:rPr>
    </w:lvl>
    <w:lvl w:ilvl="8">
      <w:start w:val="1"/>
      <w:numFmt w:val="decimal"/>
      <w:pStyle w:val="Heading9"/>
      <w:lvlText w:val="%1.%2.%3.%4.%5.%6.%7.%8.%9"/>
      <w:lvlJc w:val="left"/>
      <w:pPr>
        <w:tabs>
          <w:tab w:val="num" w:pos="2244"/>
        </w:tabs>
        <w:ind w:left="2244" w:hanging="1584"/>
      </w:pPr>
      <w:rPr>
        <w:rFonts w:hint="default"/>
      </w:rPr>
    </w:lvl>
  </w:abstractNum>
  <w:num w:numId="1">
    <w:abstractNumId w:val="0"/>
  </w:num>
  <w:num w:numId="2">
    <w:abstractNumId w:val="6"/>
  </w:num>
  <w:num w:numId="3">
    <w:abstractNumId w:val="18"/>
  </w:num>
  <w:num w:numId="4">
    <w:abstractNumId w:val="4"/>
  </w:num>
  <w:num w:numId="5">
    <w:abstractNumId w:val="23"/>
  </w:num>
  <w:num w:numId="6">
    <w:abstractNumId w:val="25"/>
  </w:num>
  <w:num w:numId="7">
    <w:abstractNumId w:val="26"/>
  </w:num>
  <w:num w:numId="8">
    <w:abstractNumId w:val="14"/>
  </w:num>
  <w:num w:numId="9">
    <w:abstractNumId w:val="2"/>
  </w:num>
  <w:num w:numId="10">
    <w:abstractNumId w:val="12"/>
  </w:num>
  <w:num w:numId="11">
    <w:abstractNumId w:val="29"/>
  </w:num>
  <w:num w:numId="12">
    <w:abstractNumId w:val="15"/>
  </w:num>
  <w:num w:numId="13">
    <w:abstractNumId w:val="24"/>
  </w:num>
  <w:num w:numId="14">
    <w:abstractNumId w:val="27"/>
  </w:num>
  <w:num w:numId="15">
    <w:abstractNumId w:val="22"/>
  </w:num>
  <w:num w:numId="16">
    <w:abstractNumId w:val="16"/>
  </w:num>
  <w:num w:numId="17">
    <w:abstractNumId w:val="21"/>
  </w:num>
  <w:num w:numId="18">
    <w:abstractNumId w:val="3"/>
  </w:num>
  <w:num w:numId="19">
    <w:abstractNumId w:val="7"/>
  </w:num>
  <w:num w:numId="20">
    <w:abstractNumId w:val="5"/>
  </w:num>
  <w:num w:numId="21">
    <w:abstractNumId w:val="8"/>
  </w:num>
  <w:num w:numId="22">
    <w:abstractNumId w:val="9"/>
  </w:num>
  <w:num w:numId="23">
    <w:abstractNumId w:val="10"/>
  </w:num>
  <w:num w:numId="24">
    <w:abstractNumId w:val="17"/>
  </w:num>
  <w:num w:numId="25">
    <w:abstractNumId w:val="13"/>
  </w:num>
  <w:num w:numId="26">
    <w:abstractNumId w:val="28"/>
  </w:num>
  <w:num w:numId="27">
    <w:abstractNumId w:val="11"/>
  </w:num>
  <w:num w:numId="28">
    <w:abstractNumId w:val="1"/>
  </w:num>
  <w:num w:numId="29">
    <w:abstractNumId w:val="19"/>
  </w:num>
  <w:num w:numId="30">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C99"/>
    <w:rsid w:val="000015CB"/>
    <w:rsid w:val="00003DFD"/>
    <w:rsid w:val="00004879"/>
    <w:rsid w:val="00004B1D"/>
    <w:rsid w:val="000052A5"/>
    <w:rsid w:val="00007ACE"/>
    <w:rsid w:val="00007C0E"/>
    <w:rsid w:val="000111BE"/>
    <w:rsid w:val="000135BA"/>
    <w:rsid w:val="00013B69"/>
    <w:rsid w:val="00013FA2"/>
    <w:rsid w:val="00015354"/>
    <w:rsid w:val="000170EA"/>
    <w:rsid w:val="00017CB7"/>
    <w:rsid w:val="00017F59"/>
    <w:rsid w:val="0002026B"/>
    <w:rsid w:val="0002135C"/>
    <w:rsid w:val="000219B9"/>
    <w:rsid w:val="0002239A"/>
    <w:rsid w:val="00022709"/>
    <w:rsid w:val="00022CC2"/>
    <w:rsid w:val="00025549"/>
    <w:rsid w:val="00026AAD"/>
    <w:rsid w:val="0002770D"/>
    <w:rsid w:val="00030B9C"/>
    <w:rsid w:val="00030BD1"/>
    <w:rsid w:val="00032AC0"/>
    <w:rsid w:val="00035214"/>
    <w:rsid w:val="00035AE5"/>
    <w:rsid w:val="00036582"/>
    <w:rsid w:val="00036E01"/>
    <w:rsid w:val="00036E68"/>
    <w:rsid w:val="000378C2"/>
    <w:rsid w:val="00040412"/>
    <w:rsid w:val="00040663"/>
    <w:rsid w:val="00040B37"/>
    <w:rsid w:val="00041401"/>
    <w:rsid w:val="000420DD"/>
    <w:rsid w:val="0004241C"/>
    <w:rsid w:val="00051E53"/>
    <w:rsid w:val="00053CC2"/>
    <w:rsid w:val="00053E75"/>
    <w:rsid w:val="00055167"/>
    <w:rsid w:val="00055651"/>
    <w:rsid w:val="00055B46"/>
    <w:rsid w:val="0005626D"/>
    <w:rsid w:val="00057544"/>
    <w:rsid w:val="0006077A"/>
    <w:rsid w:val="00060CE4"/>
    <w:rsid w:val="00062000"/>
    <w:rsid w:val="000621B1"/>
    <w:rsid w:val="00062BE2"/>
    <w:rsid w:val="000641D5"/>
    <w:rsid w:val="00064EDD"/>
    <w:rsid w:val="000654E3"/>
    <w:rsid w:val="00065C9A"/>
    <w:rsid w:val="000700BF"/>
    <w:rsid w:val="0007038B"/>
    <w:rsid w:val="00071557"/>
    <w:rsid w:val="00071761"/>
    <w:rsid w:val="000766B7"/>
    <w:rsid w:val="000771DA"/>
    <w:rsid w:val="000806AA"/>
    <w:rsid w:val="000818C1"/>
    <w:rsid w:val="00084294"/>
    <w:rsid w:val="00085047"/>
    <w:rsid w:val="00085D6A"/>
    <w:rsid w:val="00087B11"/>
    <w:rsid w:val="00091803"/>
    <w:rsid w:val="00093025"/>
    <w:rsid w:val="00095A4C"/>
    <w:rsid w:val="000A0878"/>
    <w:rsid w:val="000A0895"/>
    <w:rsid w:val="000A144C"/>
    <w:rsid w:val="000A17A5"/>
    <w:rsid w:val="000A3CB1"/>
    <w:rsid w:val="000A3EAD"/>
    <w:rsid w:val="000A40C0"/>
    <w:rsid w:val="000A6425"/>
    <w:rsid w:val="000B0492"/>
    <w:rsid w:val="000B0B24"/>
    <w:rsid w:val="000B0B3F"/>
    <w:rsid w:val="000B1729"/>
    <w:rsid w:val="000B2754"/>
    <w:rsid w:val="000B307A"/>
    <w:rsid w:val="000B68E0"/>
    <w:rsid w:val="000C06EC"/>
    <w:rsid w:val="000C0784"/>
    <w:rsid w:val="000C0967"/>
    <w:rsid w:val="000C0CFE"/>
    <w:rsid w:val="000C1439"/>
    <w:rsid w:val="000C1CA8"/>
    <w:rsid w:val="000C311C"/>
    <w:rsid w:val="000C3935"/>
    <w:rsid w:val="000C3E76"/>
    <w:rsid w:val="000C465A"/>
    <w:rsid w:val="000C4799"/>
    <w:rsid w:val="000C4DF3"/>
    <w:rsid w:val="000C7614"/>
    <w:rsid w:val="000D0238"/>
    <w:rsid w:val="000D1B32"/>
    <w:rsid w:val="000D1EA3"/>
    <w:rsid w:val="000D21E0"/>
    <w:rsid w:val="000D2827"/>
    <w:rsid w:val="000D33F6"/>
    <w:rsid w:val="000D3D0A"/>
    <w:rsid w:val="000D563E"/>
    <w:rsid w:val="000D62F1"/>
    <w:rsid w:val="000D6DCD"/>
    <w:rsid w:val="000E2A31"/>
    <w:rsid w:val="000E36B8"/>
    <w:rsid w:val="000E6456"/>
    <w:rsid w:val="000E7C28"/>
    <w:rsid w:val="000F082C"/>
    <w:rsid w:val="000F0EFA"/>
    <w:rsid w:val="000F2FB1"/>
    <w:rsid w:val="000F4B98"/>
    <w:rsid w:val="000F5113"/>
    <w:rsid w:val="000F51DE"/>
    <w:rsid w:val="000F51E6"/>
    <w:rsid w:val="000F52CD"/>
    <w:rsid w:val="000F6BB9"/>
    <w:rsid w:val="000F6F29"/>
    <w:rsid w:val="00100658"/>
    <w:rsid w:val="0010073A"/>
    <w:rsid w:val="00101A46"/>
    <w:rsid w:val="00101E9A"/>
    <w:rsid w:val="001046D5"/>
    <w:rsid w:val="00105902"/>
    <w:rsid w:val="00106B56"/>
    <w:rsid w:val="00106F07"/>
    <w:rsid w:val="00107779"/>
    <w:rsid w:val="00110C24"/>
    <w:rsid w:val="00111DB7"/>
    <w:rsid w:val="00112A82"/>
    <w:rsid w:val="00113C67"/>
    <w:rsid w:val="00114D3B"/>
    <w:rsid w:val="0011538E"/>
    <w:rsid w:val="001162BA"/>
    <w:rsid w:val="00117133"/>
    <w:rsid w:val="00117C0E"/>
    <w:rsid w:val="00117F0B"/>
    <w:rsid w:val="001216A9"/>
    <w:rsid w:val="00122400"/>
    <w:rsid w:val="001238D3"/>
    <w:rsid w:val="00124220"/>
    <w:rsid w:val="00125C1B"/>
    <w:rsid w:val="001302FB"/>
    <w:rsid w:val="00132066"/>
    <w:rsid w:val="001324D0"/>
    <w:rsid w:val="00132527"/>
    <w:rsid w:val="00132E11"/>
    <w:rsid w:val="00135693"/>
    <w:rsid w:val="00137117"/>
    <w:rsid w:val="001372A5"/>
    <w:rsid w:val="00141CAC"/>
    <w:rsid w:val="00142B01"/>
    <w:rsid w:val="00143830"/>
    <w:rsid w:val="00143B17"/>
    <w:rsid w:val="00143BA8"/>
    <w:rsid w:val="0014471E"/>
    <w:rsid w:val="00144CB4"/>
    <w:rsid w:val="001453B1"/>
    <w:rsid w:val="0014593C"/>
    <w:rsid w:val="00145F62"/>
    <w:rsid w:val="00146841"/>
    <w:rsid w:val="00150DD7"/>
    <w:rsid w:val="00152713"/>
    <w:rsid w:val="001532AD"/>
    <w:rsid w:val="00154A2F"/>
    <w:rsid w:val="00155C98"/>
    <w:rsid w:val="0015617B"/>
    <w:rsid w:val="001566D4"/>
    <w:rsid w:val="001614BF"/>
    <w:rsid w:val="00162CE8"/>
    <w:rsid w:val="00163678"/>
    <w:rsid w:val="00164186"/>
    <w:rsid w:val="00165448"/>
    <w:rsid w:val="0016649F"/>
    <w:rsid w:val="00167233"/>
    <w:rsid w:val="00167578"/>
    <w:rsid w:val="00171006"/>
    <w:rsid w:val="00171F49"/>
    <w:rsid w:val="001720A0"/>
    <w:rsid w:val="001728E9"/>
    <w:rsid w:val="001732EB"/>
    <w:rsid w:val="00174D38"/>
    <w:rsid w:val="001838A0"/>
    <w:rsid w:val="001839DB"/>
    <w:rsid w:val="00185BA1"/>
    <w:rsid w:val="001866FE"/>
    <w:rsid w:val="00186FFD"/>
    <w:rsid w:val="001924FC"/>
    <w:rsid w:val="001928F3"/>
    <w:rsid w:val="00192D1B"/>
    <w:rsid w:val="00192FD0"/>
    <w:rsid w:val="001934CD"/>
    <w:rsid w:val="00194DAD"/>
    <w:rsid w:val="0019546D"/>
    <w:rsid w:val="001955DC"/>
    <w:rsid w:val="0019599B"/>
    <w:rsid w:val="00195FB0"/>
    <w:rsid w:val="00196C2B"/>
    <w:rsid w:val="001970FF"/>
    <w:rsid w:val="001974C7"/>
    <w:rsid w:val="001A013F"/>
    <w:rsid w:val="001A04E7"/>
    <w:rsid w:val="001A0796"/>
    <w:rsid w:val="001A0CCA"/>
    <w:rsid w:val="001A2347"/>
    <w:rsid w:val="001A2636"/>
    <w:rsid w:val="001A32E3"/>
    <w:rsid w:val="001A52FC"/>
    <w:rsid w:val="001A61C6"/>
    <w:rsid w:val="001A7002"/>
    <w:rsid w:val="001A758B"/>
    <w:rsid w:val="001A7E70"/>
    <w:rsid w:val="001B02D4"/>
    <w:rsid w:val="001B03B0"/>
    <w:rsid w:val="001B2082"/>
    <w:rsid w:val="001B29CF"/>
    <w:rsid w:val="001B5315"/>
    <w:rsid w:val="001B63A7"/>
    <w:rsid w:val="001B6489"/>
    <w:rsid w:val="001B6661"/>
    <w:rsid w:val="001B67DA"/>
    <w:rsid w:val="001B6F21"/>
    <w:rsid w:val="001B6F7D"/>
    <w:rsid w:val="001C0072"/>
    <w:rsid w:val="001C023F"/>
    <w:rsid w:val="001C2217"/>
    <w:rsid w:val="001C2BCD"/>
    <w:rsid w:val="001C435B"/>
    <w:rsid w:val="001C4535"/>
    <w:rsid w:val="001C5FB0"/>
    <w:rsid w:val="001C6F47"/>
    <w:rsid w:val="001C7021"/>
    <w:rsid w:val="001D0E45"/>
    <w:rsid w:val="001D16BE"/>
    <w:rsid w:val="001D2C01"/>
    <w:rsid w:val="001D426D"/>
    <w:rsid w:val="001D4B7A"/>
    <w:rsid w:val="001D7792"/>
    <w:rsid w:val="001E166C"/>
    <w:rsid w:val="001E25F9"/>
    <w:rsid w:val="001E396F"/>
    <w:rsid w:val="001E39DD"/>
    <w:rsid w:val="001E5C82"/>
    <w:rsid w:val="001E5F18"/>
    <w:rsid w:val="001F1585"/>
    <w:rsid w:val="001F1871"/>
    <w:rsid w:val="001F5BE4"/>
    <w:rsid w:val="001F679C"/>
    <w:rsid w:val="001F7451"/>
    <w:rsid w:val="001F7656"/>
    <w:rsid w:val="00201CF7"/>
    <w:rsid w:val="0020216F"/>
    <w:rsid w:val="00204C3D"/>
    <w:rsid w:val="002063D0"/>
    <w:rsid w:val="00207398"/>
    <w:rsid w:val="00210751"/>
    <w:rsid w:val="00213647"/>
    <w:rsid w:val="00213E15"/>
    <w:rsid w:val="00214292"/>
    <w:rsid w:val="00216B14"/>
    <w:rsid w:val="00217446"/>
    <w:rsid w:val="00217508"/>
    <w:rsid w:val="00220348"/>
    <w:rsid w:val="00222E01"/>
    <w:rsid w:val="00222FE9"/>
    <w:rsid w:val="002233A4"/>
    <w:rsid w:val="00224321"/>
    <w:rsid w:val="00224A56"/>
    <w:rsid w:val="002270DE"/>
    <w:rsid w:val="00227C8F"/>
    <w:rsid w:val="00230BC6"/>
    <w:rsid w:val="00231E1D"/>
    <w:rsid w:val="00232A5E"/>
    <w:rsid w:val="00232F7E"/>
    <w:rsid w:val="00233AB3"/>
    <w:rsid w:val="00235109"/>
    <w:rsid w:val="00235393"/>
    <w:rsid w:val="00235885"/>
    <w:rsid w:val="002360D0"/>
    <w:rsid w:val="0023626E"/>
    <w:rsid w:val="00236643"/>
    <w:rsid w:val="0023713E"/>
    <w:rsid w:val="002404D6"/>
    <w:rsid w:val="00241C6D"/>
    <w:rsid w:val="00242FD4"/>
    <w:rsid w:val="0024461C"/>
    <w:rsid w:val="00244A87"/>
    <w:rsid w:val="00244EAE"/>
    <w:rsid w:val="00247434"/>
    <w:rsid w:val="0024755D"/>
    <w:rsid w:val="00247EE2"/>
    <w:rsid w:val="00250C63"/>
    <w:rsid w:val="002528FC"/>
    <w:rsid w:val="00253540"/>
    <w:rsid w:val="00257A04"/>
    <w:rsid w:val="0026014A"/>
    <w:rsid w:val="002604F7"/>
    <w:rsid w:val="0026092E"/>
    <w:rsid w:val="002617C0"/>
    <w:rsid w:val="00261EB8"/>
    <w:rsid w:val="002643A2"/>
    <w:rsid w:val="00264943"/>
    <w:rsid w:val="00264A09"/>
    <w:rsid w:val="0026508E"/>
    <w:rsid w:val="00265480"/>
    <w:rsid w:val="00265B11"/>
    <w:rsid w:val="0026752C"/>
    <w:rsid w:val="002700EF"/>
    <w:rsid w:val="0027044A"/>
    <w:rsid w:val="00271A74"/>
    <w:rsid w:val="002728B5"/>
    <w:rsid w:val="002730B4"/>
    <w:rsid w:val="002731C5"/>
    <w:rsid w:val="00273AFD"/>
    <w:rsid w:val="00276539"/>
    <w:rsid w:val="0027749D"/>
    <w:rsid w:val="00280118"/>
    <w:rsid w:val="002814FC"/>
    <w:rsid w:val="002822BA"/>
    <w:rsid w:val="00282A37"/>
    <w:rsid w:val="00282BCF"/>
    <w:rsid w:val="00282E75"/>
    <w:rsid w:val="00283177"/>
    <w:rsid w:val="00283562"/>
    <w:rsid w:val="002845B4"/>
    <w:rsid w:val="002877D3"/>
    <w:rsid w:val="002908E2"/>
    <w:rsid w:val="00290C5E"/>
    <w:rsid w:val="002937D7"/>
    <w:rsid w:val="002947E9"/>
    <w:rsid w:val="002961C3"/>
    <w:rsid w:val="002A0EE7"/>
    <w:rsid w:val="002A15C6"/>
    <w:rsid w:val="002A2C16"/>
    <w:rsid w:val="002A2DD5"/>
    <w:rsid w:val="002A383A"/>
    <w:rsid w:val="002A45B2"/>
    <w:rsid w:val="002A49A5"/>
    <w:rsid w:val="002A4FFA"/>
    <w:rsid w:val="002A582C"/>
    <w:rsid w:val="002B04E1"/>
    <w:rsid w:val="002B06B0"/>
    <w:rsid w:val="002B15F8"/>
    <w:rsid w:val="002B1E97"/>
    <w:rsid w:val="002B1FB2"/>
    <w:rsid w:val="002B2B4C"/>
    <w:rsid w:val="002B42E1"/>
    <w:rsid w:val="002B4F2A"/>
    <w:rsid w:val="002B5A9C"/>
    <w:rsid w:val="002C3A8A"/>
    <w:rsid w:val="002C4074"/>
    <w:rsid w:val="002C4260"/>
    <w:rsid w:val="002C473A"/>
    <w:rsid w:val="002C47CB"/>
    <w:rsid w:val="002C587E"/>
    <w:rsid w:val="002C5B1D"/>
    <w:rsid w:val="002C6A31"/>
    <w:rsid w:val="002C71AB"/>
    <w:rsid w:val="002C7FE3"/>
    <w:rsid w:val="002D2C4C"/>
    <w:rsid w:val="002D3BFF"/>
    <w:rsid w:val="002D440E"/>
    <w:rsid w:val="002D56E5"/>
    <w:rsid w:val="002D5C18"/>
    <w:rsid w:val="002D6090"/>
    <w:rsid w:val="002E1F7B"/>
    <w:rsid w:val="002E25ED"/>
    <w:rsid w:val="002E2B4F"/>
    <w:rsid w:val="002E3593"/>
    <w:rsid w:val="002E3782"/>
    <w:rsid w:val="002E3EEE"/>
    <w:rsid w:val="002E4754"/>
    <w:rsid w:val="002E4DEB"/>
    <w:rsid w:val="002E56DF"/>
    <w:rsid w:val="002E594A"/>
    <w:rsid w:val="002F1147"/>
    <w:rsid w:val="002F289F"/>
    <w:rsid w:val="002F4926"/>
    <w:rsid w:val="002F4DA8"/>
    <w:rsid w:val="002F503A"/>
    <w:rsid w:val="0030159A"/>
    <w:rsid w:val="00302F42"/>
    <w:rsid w:val="0030415A"/>
    <w:rsid w:val="00304C03"/>
    <w:rsid w:val="0031220D"/>
    <w:rsid w:val="00312744"/>
    <w:rsid w:val="0031524C"/>
    <w:rsid w:val="00315C6F"/>
    <w:rsid w:val="00316AE6"/>
    <w:rsid w:val="00316EF8"/>
    <w:rsid w:val="0031708F"/>
    <w:rsid w:val="003173C0"/>
    <w:rsid w:val="00317A28"/>
    <w:rsid w:val="003210D4"/>
    <w:rsid w:val="00324D70"/>
    <w:rsid w:val="00332DF8"/>
    <w:rsid w:val="00333047"/>
    <w:rsid w:val="003333CA"/>
    <w:rsid w:val="00334B0B"/>
    <w:rsid w:val="00335A8A"/>
    <w:rsid w:val="00336A6E"/>
    <w:rsid w:val="00337244"/>
    <w:rsid w:val="003379EF"/>
    <w:rsid w:val="00337A91"/>
    <w:rsid w:val="0034384B"/>
    <w:rsid w:val="0034425B"/>
    <w:rsid w:val="003448EE"/>
    <w:rsid w:val="00344907"/>
    <w:rsid w:val="00345A6C"/>
    <w:rsid w:val="00345EBC"/>
    <w:rsid w:val="003468EC"/>
    <w:rsid w:val="00350034"/>
    <w:rsid w:val="0035010F"/>
    <w:rsid w:val="00350A50"/>
    <w:rsid w:val="00350C2C"/>
    <w:rsid w:val="0035137C"/>
    <w:rsid w:val="00351A87"/>
    <w:rsid w:val="00351BC0"/>
    <w:rsid w:val="003524D6"/>
    <w:rsid w:val="003531E4"/>
    <w:rsid w:val="003533E8"/>
    <w:rsid w:val="00353C95"/>
    <w:rsid w:val="00354055"/>
    <w:rsid w:val="003547C6"/>
    <w:rsid w:val="00354FD6"/>
    <w:rsid w:val="00356987"/>
    <w:rsid w:val="00360A5A"/>
    <w:rsid w:val="00364382"/>
    <w:rsid w:val="00365804"/>
    <w:rsid w:val="00366001"/>
    <w:rsid w:val="00373CA6"/>
    <w:rsid w:val="00373FFF"/>
    <w:rsid w:val="00374D37"/>
    <w:rsid w:val="003763EF"/>
    <w:rsid w:val="00377240"/>
    <w:rsid w:val="003776B9"/>
    <w:rsid w:val="00377BAE"/>
    <w:rsid w:val="00380EDF"/>
    <w:rsid w:val="00381D54"/>
    <w:rsid w:val="003828D5"/>
    <w:rsid w:val="003830CF"/>
    <w:rsid w:val="003837A6"/>
    <w:rsid w:val="00384147"/>
    <w:rsid w:val="003864CB"/>
    <w:rsid w:val="0038702B"/>
    <w:rsid w:val="003900D4"/>
    <w:rsid w:val="00390787"/>
    <w:rsid w:val="00391501"/>
    <w:rsid w:val="00391F1B"/>
    <w:rsid w:val="003921FA"/>
    <w:rsid w:val="00392238"/>
    <w:rsid w:val="00392585"/>
    <w:rsid w:val="00393EB1"/>
    <w:rsid w:val="0039498D"/>
    <w:rsid w:val="00394BD5"/>
    <w:rsid w:val="00394D87"/>
    <w:rsid w:val="00395AF0"/>
    <w:rsid w:val="00395BB4"/>
    <w:rsid w:val="0039693B"/>
    <w:rsid w:val="00397A2F"/>
    <w:rsid w:val="003A041E"/>
    <w:rsid w:val="003A1781"/>
    <w:rsid w:val="003A3E48"/>
    <w:rsid w:val="003A4047"/>
    <w:rsid w:val="003A46FE"/>
    <w:rsid w:val="003A4C13"/>
    <w:rsid w:val="003A5A35"/>
    <w:rsid w:val="003B02A9"/>
    <w:rsid w:val="003B0A61"/>
    <w:rsid w:val="003B18C6"/>
    <w:rsid w:val="003B1C9B"/>
    <w:rsid w:val="003B2148"/>
    <w:rsid w:val="003B215A"/>
    <w:rsid w:val="003B23E9"/>
    <w:rsid w:val="003B3531"/>
    <w:rsid w:val="003B35AC"/>
    <w:rsid w:val="003B44F4"/>
    <w:rsid w:val="003B4CE9"/>
    <w:rsid w:val="003B64AA"/>
    <w:rsid w:val="003B6D8E"/>
    <w:rsid w:val="003C041F"/>
    <w:rsid w:val="003C0B84"/>
    <w:rsid w:val="003C2FD2"/>
    <w:rsid w:val="003C4FF6"/>
    <w:rsid w:val="003C5CA8"/>
    <w:rsid w:val="003C6720"/>
    <w:rsid w:val="003D091A"/>
    <w:rsid w:val="003D0F1D"/>
    <w:rsid w:val="003D1148"/>
    <w:rsid w:val="003D2946"/>
    <w:rsid w:val="003D4806"/>
    <w:rsid w:val="003D5B63"/>
    <w:rsid w:val="003D6C50"/>
    <w:rsid w:val="003E061C"/>
    <w:rsid w:val="003E2FEB"/>
    <w:rsid w:val="003E3317"/>
    <w:rsid w:val="003E3CAD"/>
    <w:rsid w:val="003E48C0"/>
    <w:rsid w:val="003E5686"/>
    <w:rsid w:val="003E769F"/>
    <w:rsid w:val="003F2820"/>
    <w:rsid w:val="003F2D91"/>
    <w:rsid w:val="003F3EC7"/>
    <w:rsid w:val="003F4292"/>
    <w:rsid w:val="003F5600"/>
    <w:rsid w:val="003F5714"/>
    <w:rsid w:val="00400582"/>
    <w:rsid w:val="00400C96"/>
    <w:rsid w:val="00402AA0"/>
    <w:rsid w:val="0040648D"/>
    <w:rsid w:val="00410955"/>
    <w:rsid w:val="00412EFB"/>
    <w:rsid w:val="004131B4"/>
    <w:rsid w:val="00413932"/>
    <w:rsid w:val="004152FE"/>
    <w:rsid w:val="004155FB"/>
    <w:rsid w:val="004176F5"/>
    <w:rsid w:val="0042005F"/>
    <w:rsid w:val="004210DF"/>
    <w:rsid w:val="00422E52"/>
    <w:rsid w:val="004259A7"/>
    <w:rsid w:val="00425EF4"/>
    <w:rsid w:val="004260EA"/>
    <w:rsid w:val="0042707E"/>
    <w:rsid w:val="004275D8"/>
    <w:rsid w:val="0042764C"/>
    <w:rsid w:val="00430B10"/>
    <w:rsid w:val="00432E01"/>
    <w:rsid w:val="00433A19"/>
    <w:rsid w:val="00434AE5"/>
    <w:rsid w:val="004361D0"/>
    <w:rsid w:val="00440A0E"/>
    <w:rsid w:val="00441021"/>
    <w:rsid w:val="004411D0"/>
    <w:rsid w:val="004415F6"/>
    <w:rsid w:val="00441E49"/>
    <w:rsid w:val="0044222B"/>
    <w:rsid w:val="00442AC2"/>
    <w:rsid w:val="00443CCA"/>
    <w:rsid w:val="00444D96"/>
    <w:rsid w:val="00445E04"/>
    <w:rsid w:val="0044672F"/>
    <w:rsid w:val="004468E7"/>
    <w:rsid w:val="00451851"/>
    <w:rsid w:val="0045416F"/>
    <w:rsid w:val="00454479"/>
    <w:rsid w:val="0045493B"/>
    <w:rsid w:val="00454AF7"/>
    <w:rsid w:val="00455902"/>
    <w:rsid w:val="004565A2"/>
    <w:rsid w:val="00457EAA"/>
    <w:rsid w:val="0046030F"/>
    <w:rsid w:val="00460B37"/>
    <w:rsid w:val="00461186"/>
    <w:rsid w:val="00462AFE"/>
    <w:rsid w:val="00462CBE"/>
    <w:rsid w:val="00463879"/>
    <w:rsid w:val="00463B42"/>
    <w:rsid w:val="00463DC6"/>
    <w:rsid w:val="00464BE8"/>
    <w:rsid w:val="00467763"/>
    <w:rsid w:val="00467C41"/>
    <w:rsid w:val="00470FAF"/>
    <w:rsid w:val="004715DA"/>
    <w:rsid w:val="00472436"/>
    <w:rsid w:val="0047416E"/>
    <w:rsid w:val="00474937"/>
    <w:rsid w:val="00481AAA"/>
    <w:rsid w:val="00482DC0"/>
    <w:rsid w:val="00483981"/>
    <w:rsid w:val="00484ADF"/>
    <w:rsid w:val="00484D1C"/>
    <w:rsid w:val="00485AD1"/>
    <w:rsid w:val="00486249"/>
    <w:rsid w:val="00486E12"/>
    <w:rsid w:val="00487295"/>
    <w:rsid w:val="00490647"/>
    <w:rsid w:val="00491EBB"/>
    <w:rsid w:val="00493FBD"/>
    <w:rsid w:val="0049531D"/>
    <w:rsid w:val="004959AF"/>
    <w:rsid w:val="00497A62"/>
    <w:rsid w:val="00497D2E"/>
    <w:rsid w:val="004A04AB"/>
    <w:rsid w:val="004A1377"/>
    <w:rsid w:val="004A1E94"/>
    <w:rsid w:val="004A2C72"/>
    <w:rsid w:val="004A3B6D"/>
    <w:rsid w:val="004A4F0F"/>
    <w:rsid w:val="004A7AC0"/>
    <w:rsid w:val="004B205E"/>
    <w:rsid w:val="004B2195"/>
    <w:rsid w:val="004B2760"/>
    <w:rsid w:val="004B4F4E"/>
    <w:rsid w:val="004B5EBF"/>
    <w:rsid w:val="004B7262"/>
    <w:rsid w:val="004C25EF"/>
    <w:rsid w:val="004C2E2D"/>
    <w:rsid w:val="004C532F"/>
    <w:rsid w:val="004C72C1"/>
    <w:rsid w:val="004C7FA4"/>
    <w:rsid w:val="004D2856"/>
    <w:rsid w:val="004D3FFF"/>
    <w:rsid w:val="004D7FEC"/>
    <w:rsid w:val="004E0174"/>
    <w:rsid w:val="004E0225"/>
    <w:rsid w:val="004E1CCD"/>
    <w:rsid w:val="004E1EE0"/>
    <w:rsid w:val="004E2D6C"/>
    <w:rsid w:val="004E4896"/>
    <w:rsid w:val="004E615C"/>
    <w:rsid w:val="004E6259"/>
    <w:rsid w:val="004E6E4C"/>
    <w:rsid w:val="004F1204"/>
    <w:rsid w:val="004F193D"/>
    <w:rsid w:val="004F1B29"/>
    <w:rsid w:val="004F3F84"/>
    <w:rsid w:val="004F4094"/>
    <w:rsid w:val="004F45A9"/>
    <w:rsid w:val="004F5915"/>
    <w:rsid w:val="004F67A6"/>
    <w:rsid w:val="004F6B5B"/>
    <w:rsid w:val="004F741B"/>
    <w:rsid w:val="004F797F"/>
    <w:rsid w:val="00500B73"/>
    <w:rsid w:val="00501528"/>
    <w:rsid w:val="00503088"/>
    <w:rsid w:val="0050325D"/>
    <w:rsid w:val="00503A4F"/>
    <w:rsid w:val="005049AA"/>
    <w:rsid w:val="0050561A"/>
    <w:rsid w:val="00505BAF"/>
    <w:rsid w:val="0050656A"/>
    <w:rsid w:val="00507026"/>
    <w:rsid w:val="005100D2"/>
    <w:rsid w:val="0051193C"/>
    <w:rsid w:val="00511A2F"/>
    <w:rsid w:val="00513C72"/>
    <w:rsid w:val="00514294"/>
    <w:rsid w:val="00514D03"/>
    <w:rsid w:val="00515D7F"/>
    <w:rsid w:val="005163C8"/>
    <w:rsid w:val="0051660C"/>
    <w:rsid w:val="005168F7"/>
    <w:rsid w:val="005203E2"/>
    <w:rsid w:val="0052262F"/>
    <w:rsid w:val="00523C98"/>
    <w:rsid w:val="0052409D"/>
    <w:rsid w:val="00524505"/>
    <w:rsid w:val="00530E83"/>
    <w:rsid w:val="00532D8C"/>
    <w:rsid w:val="00533BD9"/>
    <w:rsid w:val="00534BC9"/>
    <w:rsid w:val="00535B77"/>
    <w:rsid w:val="00537E61"/>
    <w:rsid w:val="00540006"/>
    <w:rsid w:val="005418AE"/>
    <w:rsid w:val="00541954"/>
    <w:rsid w:val="0054202B"/>
    <w:rsid w:val="00542BEC"/>
    <w:rsid w:val="00542D04"/>
    <w:rsid w:val="00543B22"/>
    <w:rsid w:val="005447C8"/>
    <w:rsid w:val="00544C7F"/>
    <w:rsid w:val="00545CDD"/>
    <w:rsid w:val="00550273"/>
    <w:rsid w:val="005518A6"/>
    <w:rsid w:val="00554AC0"/>
    <w:rsid w:val="005557AE"/>
    <w:rsid w:val="00557E44"/>
    <w:rsid w:val="00563770"/>
    <w:rsid w:val="00563840"/>
    <w:rsid w:val="00564FD1"/>
    <w:rsid w:val="00565AFD"/>
    <w:rsid w:val="00566187"/>
    <w:rsid w:val="00566407"/>
    <w:rsid w:val="00570DF7"/>
    <w:rsid w:val="00571E90"/>
    <w:rsid w:val="005731D0"/>
    <w:rsid w:val="00573326"/>
    <w:rsid w:val="00573862"/>
    <w:rsid w:val="00574859"/>
    <w:rsid w:val="00574CF8"/>
    <w:rsid w:val="0057594A"/>
    <w:rsid w:val="0057783E"/>
    <w:rsid w:val="0058014D"/>
    <w:rsid w:val="005808BE"/>
    <w:rsid w:val="0058095E"/>
    <w:rsid w:val="00582DE1"/>
    <w:rsid w:val="00582FBE"/>
    <w:rsid w:val="0058412C"/>
    <w:rsid w:val="005845BC"/>
    <w:rsid w:val="00584C54"/>
    <w:rsid w:val="00586B70"/>
    <w:rsid w:val="00586CBC"/>
    <w:rsid w:val="00587108"/>
    <w:rsid w:val="00587C79"/>
    <w:rsid w:val="005903E1"/>
    <w:rsid w:val="00590CCD"/>
    <w:rsid w:val="00590CFD"/>
    <w:rsid w:val="00591F32"/>
    <w:rsid w:val="00592533"/>
    <w:rsid w:val="005926AE"/>
    <w:rsid w:val="00592B06"/>
    <w:rsid w:val="0059382F"/>
    <w:rsid w:val="0059384F"/>
    <w:rsid w:val="0059418B"/>
    <w:rsid w:val="005944BC"/>
    <w:rsid w:val="00594B62"/>
    <w:rsid w:val="0059510A"/>
    <w:rsid w:val="005952FC"/>
    <w:rsid w:val="00595F00"/>
    <w:rsid w:val="005A145D"/>
    <w:rsid w:val="005A1CF1"/>
    <w:rsid w:val="005A1E54"/>
    <w:rsid w:val="005A3BAE"/>
    <w:rsid w:val="005A41B6"/>
    <w:rsid w:val="005A4CF5"/>
    <w:rsid w:val="005A53DE"/>
    <w:rsid w:val="005A5C99"/>
    <w:rsid w:val="005A7152"/>
    <w:rsid w:val="005A7368"/>
    <w:rsid w:val="005A7AFD"/>
    <w:rsid w:val="005A7E46"/>
    <w:rsid w:val="005B0272"/>
    <w:rsid w:val="005B0D83"/>
    <w:rsid w:val="005B2C90"/>
    <w:rsid w:val="005B605D"/>
    <w:rsid w:val="005B6BEE"/>
    <w:rsid w:val="005B7579"/>
    <w:rsid w:val="005B77F5"/>
    <w:rsid w:val="005B7C57"/>
    <w:rsid w:val="005B7FB1"/>
    <w:rsid w:val="005C04CD"/>
    <w:rsid w:val="005C104E"/>
    <w:rsid w:val="005C1135"/>
    <w:rsid w:val="005C1252"/>
    <w:rsid w:val="005C174A"/>
    <w:rsid w:val="005C17A9"/>
    <w:rsid w:val="005C1836"/>
    <w:rsid w:val="005C2F1C"/>
    <w:rsid w:val="005C3750"/>
    <w:rsid w:val="005C3BB2"/>
    <w:rsid w:val="005C4B49"/>
    <w:rsid w:val="005C503C"/>
    <w:rsid w:val="005C657B"/>
    <w:rsid w:val="005D036E"/>
    <w:rsid w:val="005D0B8D"/>
    <w:rsid w:val="005D1D17"/>
    <w:rsid w:val="005D3673"/>
    <w:rsid w:val="005D3BB1"/>
    <w:rsid w:val="005D4DFF"/>
    <w:rsid w:val="005D61A3"/>
    <w:rsid w:val="005D6DE6"/>
    <w:rsid w:val="005E18FE"/>
    <w:rsid w:val="005E26A0"/>
    <w:rsid w:val="005E2A00"/>
    <w:rsid w:val="005E4734"/>
    <w:rsid w:val="005E5529"/>
    <w:rsid w:val="005E716B"/>
    <w:rsid w:val="005F00E6"/>
    <w:rsid w:val="005F5B29"/>
    <w:rsid w:val="00602D65"/>
    <w:rsid w:val="00603934"/>
    <w:rsid w:val="00605957"/>
    <w:rsid w:val="00607F3A"/>
    <w:rsid w:val="00611986"/>
    <w:rsid w:val="00611BC4"/>
    <w:rsid w:val="00612143"/>
    <w:rsid w:val="0061411C"/>
    <w:rsid w:val="00615009"/>
    <w:rsid w:val="00616E56"/>
    <w:rsid w:val="00617051"/>
    <w:rsid w:val="006214E0"/>
    <w:rsid w:val="00621DD3"/>
    <w:rsid w:val="0062217A"/>
    <w:rsid w:val="00622EAC"/>
    <w:rsid w:val="00623E22"/>
    <w:rsid w:val="0062431C"/>
    <w:rsid w:val="006266E8"/>
    <w:rsid w:val="00626B21"/>
    <w:rsid w:val="00630EFA"/>
    <w:rsid w:val="00631599"/>
    <w:rsid w:val="00631DC6"/>
    <w:rsid w:val="00632492"/>
    <w:rsid w:val="00632BFF"/>
    <w:rsid w:val="00634660"/>
    <w:rsid w:val="00635794"/>
    <w:rsid w:val="006369D0"/>
    <w:rsid w:val="00640BAF"/>
    <w:rsid w:val="00641697"/>
    <w:rsid w:val="00642126"/>
    <w:rsid w:val="0064368A"/>
    <w:rsid w:val="00645525"/>
    <w:rsid w:val="00651379"/>
    <w:rsid w:val="00652283"/>
    <w:rsid w:val="00652BF4"/>
    <w:rsid w:val="00654123"/>
    <w:rsid w:val="00654587"/>
    <w:rsid w:val="006556C1"/>
    <w:rsid w:val="00656148"/>
    <w:rsid w:val="00656DF1"/>
    <w:rsid w:val="0065731B"/>
    <w:rsid w:val="006578E4"/>
    <w:rsid w:val="006603E8"/>
    <w:rsid w:val="00660F5C"/>
    <w:rsid w:val="00662953"/>
    <w:rsid w:val="00662EF2"/>
    <w:rsid w:val="00663405"/>
    <w:rsid w:val="006639F5"/>
    <w:rsid w:val="006712B4"/>
    <w:rsid w:val="00674CF3"/>
    <w:rsid w:val="00674FC7"/>
    <w:rsid w:val="0067581D"/>
    <w:rsid w:val="00675F76"/>
    <w:rsid w:val="0067720C"/>
    <w:rsid w:val="0067726D"/>
    <w:rsid w:val="0067745B"/>
    <w:rsid w:val="00677A48"/>
    <w:rsid w:val="0068033A"/>
    <w:rsid w:val="0068087D"/>
    <w:rsid w:val="00683123"/>
    <w:rsid w:val="00683726"/>
    <w:rsid w:val="006842F9"/>
    <w:rsid w:val="00691EF4"/>
    <w:rsid w:val="0069275D"/>
    <w:rsid w:val="00693B01"/>
    <w:rsid w:val="00695D70"/>
    <w:rsid w:val="0069646C"/>
    <w:rsid w:val="006A094E"/>
    <w:rsid w:val="006A0E11"/>
    <w:rsid w:val="006A14B0"/>
    <w:rsid w:val="006A3778"/>
    <w:rsid w:val="006A6DCB"/>
    <w:rsid w:val="006A7C85"/>
    <w:rsid w:val="006B15AA"/>
    <w:rsid w:val="006B3262"/>
    <w:rsid w:val="006B4BFA"/>
    <w:rsid w:val="006B52D4"/>
    <w:rsid w:val="006B591A"/>
    <w:rsid w:val="006C0598"/>
    <w:rsid w:val="006C14A9"/>
    <w:rsid w:val="006C333F"/>
    <w:rsid w:val="006C3ADD"/>
    <w:rsid w:val="006C3D36"/>
    <w:rsid w:val="006C4B81"/>
    <w:rsid w:val="006C541A"/>
    <w:rsid w:val="006D1520"/>
    <w:rsid w:val="006D1BE1"/>
    <w:rsid w:val="006D40F9"/>
    <w:rsid w:val="006D4371"/>
    <w:rsid w:val="006D4F45"/>
    <w:rsid w:val="006D6599"/>
    <w:rsid w:val="006E0621"/>
    <w:rsid w:val="006E18FE"/>
    <w:rsid w:val="006E295A"/>
    <w:rsid w:val="006E4163"/>
    <w:rsid w:val="006E6F00"/>
    <w:rsid w:val="006E71D0"/>
    <w:rsid w:val="006F191C"/>
    <w:rsid w:val="006F22E6"/>
    <w:rsid w:val="006F3568"/>
    <w:rsid w:val="006F3AF4"/>
    <w:rsid w:val="006F47AB"/>
    <w:rsid w:val="006F7B09"/>
    <w:rsid w:val="006F7FF5"/>
    <w:rsid w:val="0070051F"/>
    <w:rsid w:val="007015C7"/>
    <w:rsid w:val="0070244F"/>
    <w:rsid w:val="00703E10"/>
    <w:rsid w:val="0070452F"/>
    <w:rsid w:val="007051CB"/>
    <w:rsid w:val="00705B05"/>
    <w:rsid w:val="0070682D"/>
    <w:rsid w:val="00710BCC"/>
    <w:rsid w:val="00711C50"/>
    <w:rsid w:val="007150A3"/>
    <w:rsid w:val="00721D87"/>
    <w:rsid w:val="00722631"/>
    <w:rsid w:val="007229E4"/>
    <w:rsid w:val="00722DAC"/>
    <w:rsid w:val="00725A0A"/>
    <w:rsid w:val="00726D08"/>
    <w:rsid w:val="00727480"/>
    <w:rsid w:val="00727E05"/>
    <w:rsid w:val="007306E1"/>
    <w:rsid w:val="00731B20"/>
    <w:rsid w:val="007337A3"/>
    <w:rsid w:val="007337F4"/>
    <w:rsid w:val="0073475B"/>
    <w:rsid w:val="00734859"/>
    <w:rsid w:val="00735649"/>
    <w:rsid w:val="007375EA"/>
    <w:rsid w:val="00737AA1"/>
    <w:rsid w:val="007409E3"/>
    <w:rsid w:val="00741CE3"/>
    <w:rsid w:val="007469BC"/>
    <w:rsid w:val="007516C4"/>
    <w:rsid w:val="00753B50"/>
    <w:rsid w:val="00753C09"/>
    <w:rsid w:val="0075636C"/>
    <w:rsid w:val="00760041"/>
    <w:rsid w:val="00760779"/>
    <w:rsid w:val="00760E09"/>
    <w:rsid w:val="00762F67"/>
    <w:rsid w:val="00763C37"/>
    <w:rsid w:val="00764252"/>
    <w:rsid w:val="00764871"/>
    <w:rsid w:val="00766B77"/>
    <w:rsid w:val="00767722"/>
    <w:rsid w:val="00771281"/>
    <w:rsid w:val="0077201D"/>
    <w:rsid w:val="007720A4"/>
    <w:rsid w:val="00772874"/>
    <w:rsid w:val="00774FA6"/>
    <w:rsid w:val="00775318"/>
    <w:rsid w:val="00775C2C"/>
    <w:rsid w:val="007802E2"/>
    <w:rsid w:val="0078092B"/>
    <w:rsid w:val="007814E5"/>
    <w:rsid w:val="0078464E"/>
    <w:rsid w:val="007848F0"/>
    <w:rsid w:val="00784C87"/>
    <w:rsid w:val="00786D28"/>
    <w:rsid w:val="007879DC"/>
    <w:rsid w:val="00791CE6"/>
    <w:rsid w:val="00792185"/>
    <w:rsid w:val="007921BC"/>
    <w:rsid w:val="00792460"/>
    <w:rsid w:val="007958B6"/>
    <w:rsid w:val="00796266"/>
    <w:rsid w:val="00796F26"/>
    <w:rsid w:val="007970F8"/>
    <w:rsid w:val="007A041F"/>
    <w:rsid w:val="007A1C7A"/>
    <w:rsid w:val="007A25ED"/>
    <w:rsid w:val="007A3723"/>
    <w:rsid w:val="007A4BBB"/>
    <w:rsid w:val="007A5A58"/>
    <w:rsid w:val="007A6BBC"/>
    <w:rsid w:val="007B0191"/>
    <w:rsid w:val="007B1A7B"/>
    <w:rsid w:val="007B36B8"/>
    <w:rsid w:val="007B422E"/>
    <w:rsid w:val="007B49B6"/>
    <w:rsid w:val="007B560E"/>
    <w:rsid w:val="007B5768"/>
    <w:rsid w:val="007B6E2D"/>
    <w:rsid w:val="007C0B60"/>
    <w:rsid w:val="007C17E5"/>
    <w:rsid w:val="007C315C"/>
    <w:rsid w:val="007C44A4"/>
    <w:rsid w:val="007C5364"/>
    <w:rsid w:val="007C70AE"/>
    <w:rsid w:val="007C71A2"/>
    <w:rsid w:val="007C7E57"/>
    <w:rsid w:val="007D0E77"/>
    <w:rsid w:val="007D2735"/>
    <w:rsid w:val="007D3D13"/>
    <w:rsid w:val="007D3DEE"/>
    <w:rsid w:val="007D40E9"/>
    <w:rsid w:val="007D69CC"/>
    <w:rsid w:val="007E0A5A"/>
    <w:rsid w:val="007E1668"/>
    <w:rsid w:val="007E204C"/>
    <w:rsid w:val="007E341E"/>
    <w:rsid w:val="007E47B0"/>
    <w:rsid w:val="007E529E"/>
    <w:rsid w:val="007E6443"/>
    <w:rsid w:val="007E6831"/>
    <w:rsid w:val="007E6FE9"/>
    <w:rsid w:val="007E7662"/>
    <w:rsid w:val="007F1228"/>
    <w:rsid w:val="007F162E"/>
    <w:rsid w:val="007F19B5"/>
    <w:rsid w:val="007F20FF"/>
    <w:rsid w:val="007F2DE2"/>
    <w:rsid w:val="007F6CD3"/>
    <w:rsid w:val="007F72F8"/>
    <w:rsid w:val="008008F2"/>
    <w:rsid w:val="008010F7"/>
    <w:rsid w:val="00806648"/>
    <w:rsid w:val="00810D68"/>
    <w:rsid w:val="00812627"/>
    <w:rsid w:val="0081359D"/>
    <w:rsid w:val="00813770"/>
    <w:rsid w:val="0081396E"/>
    <w:rsid w:val="0081415C"/>
    <w:rsid w:val="0081619A"/>
    <w:rsid w:val="00816A2A"/>
    <w:rsid w:val="00816B92"/>
    <w:rsid w:val="00823ACF"/>
    <w:rsid w:val="0082482D"/>
    <w:rsid w:val="0082510A"/>
    <w:rsid w:val="00825FFB"/>
    <w:rsid w:val="008275B5"/>
    <w:rsid w:val="00827928"/>
    <w:rsid w:val="0083134C"/>
    <w:rsid w:val="00831B7F"/>
    <w:rsid w:val="00833C35"/>
    <w:rsid w:val="008353B7"/>
    <w:rsid w:val="008366ED"/>
    <w:rsid w:val="00836F5E"/>
    <w:rsid w:val="00842A50"/>
    <w:rsid w:val="00842B77"/>
    <w:rsid w:val="00843FAE"/>
    <w:rsid w:val="00844D73"/>
    <w:rsid w:val="00844D85"/>
    <w:rsid w:val="00845502"/>
    <w:rsid w:val="008501A9"/>
    <w:rsid w:val="00850666"/>
    <w:rsid w:val="00852A85"/>
    <w:rsid w:val="0085331C"/>
    <w:rsid w:val="00855842"/>
    <w:rsid w:val="00855B41"/>
    <w:rsid w:val="00857385"/>
    <w:rsid w:val="008579CF"/>
    <w:rsid w:val="00863827"/>
    <w:rsid w:val="00864D7B"/>
    <w:rsid w:val="00866A71"/>
    <w:rsid w:val="00867177"/>
    <w:rsid w:val="0087073F"/>
    <w:rsid w:val="00871A2B"/>
    <w:rsid w:val="008726DD"/>
    <w:rsid w:val="00872EE4"/>
    <w:rsid w:val="00874B63"/>
    <w:rsid w:val="008758C7"/>
    <w:rsid w:val="0088053B"/>
    <w:rsid w:val="00881EB7"/>
    <w:rsid w:val="0088220C"/>
    <w:rsid w:val="008840A5"/>
    <w:rsid w:val="00885988"/>
    <w:rsid w:val="00887F0A"/>
    <w:rsid w:val="00890433"/>
    <w:rsid w:val="00890C49"/>
    <w:rsid w:val="00891237"/>
    <w:rsid w:val="00891B1C"/>
    <w:rsid w:val="00893D93"/>
    <w:rsid w:val="008950DE"/>
    <w:rsid w:val="00896573"/>
    <w:rsid w:val="00897951"/>
    <w:rsid w:val="008A1E26"/>
    <w:rsid w:val="008A2265"/>
    <w:rsid w:val="008A23D1"/>
    <w:rsid w:val="008A4067"/>
    <w:rsid w:val="008A57A8"/>
    <w:rsid w:val="008A61A2"/>
    <w:rsid w:val="008A7579"/>
    <w:rsid w:val="008A7617"/>
    <w:rsid w:val="008A78AC"/>
    <w:rsid w:val="008B11DE"/>
    <w:rsid w:val="008B4A44"/>
    <w:rsid w:val="008B637D"/>
    <w:rsid w:val="008B6AFD"/>
    <w:rsid w:val="008B6E2A"/>
    <w:rsid w:val="008C4147"/>
    <w:rsid w:val="008C43D9"/>
    <w:rsid w:val="008C4B17"/>
    <w:rsid w:val="008C55D4"/>
    <w:rsid w:val="008D1266"/>
    <w:rsid w:val="008D4148"/>
    <w:rsid w:val="008D422B"/>
    <w:rsid w:val="008D43A2"/>
    <w:rsid w:val="008D60BD"/>
    <w:rsid w:val="008D6FC3"/>
    <w:rsid w:val="008E0166"/>
    <w:rsid w:val="008E06A0"/>
    <w:rsid w:val="008E2951"/>
    <w:rsid w:val="008E3C74"/>
    <w:rsid w:val="008E52BA"/>
    <w:rsid w:val="008E600E"/>
    <w:rsid w:val="008F010C"/>
    <w:rsid w:val="008F10B0"/>
    <w:rsid w:val="008F182B"/>
    <w:rsid w:val="008F35C6"/>
    <w:rsid w:val="008F43F4"/>
    <w:rsid w:val="008F5A60"/>
    <w:rsid w:val="008F62DA"/>
    <w:rsid w:val="008F68D1"/>
    <w:rsid w:val="008F6A61"/>
    <w:rsid w:val="00902596"/>
    <w:rsid w:val="00903E6C"/>
    <w:rsid w:val="0090526B"/>
    <w:rsid w:val="009052FE"/>
    <w:rsid w:val="009059A3"/>
    <w:rsid w:val="00905F58"/>
    <w:rsid w:val="0090600B"/>
    <w:rsid w:val="00906DC5"/>
    <w:rsid w:val="00907470"/>
    <w:rsid w:val="00910FFD"/>
    <w:rsid w:val="00911BFA"/>
    <w:rsid w:val="00912FAA"/>
    <w:rsid w:val="0091573D"/>
    <w:rsid w:val="00917587"/>
    <w:rsid w:val="00917F1A"/>
    <w:rsid w:val="0092061E"/>
    <w:rsid w:val="00920A64"/>
    <w:rsid w:val="00922E4D"/>
    <w:rsid w:val="00924F2D"/>
    <w:rsid w:val="0093040D"/>
    <w:rsid w:val="009321FD"/>
    <w:rsid w:val="00934A1F"/>
    <w:rsid w:val="00935607"/>
    <w:rsid w:val="00935FA5"/>
    <w:rsid w:val="00936879"/>
    <w:rsid w:val="0094028B"/>
    <w:rsid w:val="00940312"/>
    <w:rsid w:val="0094290C"/>
    <w:rsid w:val="009434BB"/>
    <w:rsid w:val="00944D96"/>
    <w:rsid w:val="00945EAC"/>
    <w:rsid w:val="00947284"/>
    <w:rsid w:val="009477E9"/>
    <w:rsid w:val="009531F8"/>
    <w:rsid w:val="0095407F"/>
    <w:rsid w:val="00960F6C"/>
    <w:rsid w:val="00961152"/>
    <w:rsid w:val="00961972"/>
    <w:rsid w:val="00963F80"/>
    <w:rsid w:val="009659B8"/>
    <w:rsid w:val="00966935"/>
    <w:rsid w:val="009672C2"/>
    <w:rsid w:val="00967C80"/>
    <w:rsid w:val="00970121"/>
    <w:rsid w:val="00971267"/>
    <w:rsid w:val="00971F61"/>
    <w:rsid w:val="00972F91"/>
    <w:rsid w:val="00973B48"/>
    <w:rsid w:val="00973BF3"/>
    <w:rsid w:val="00973FFB"/>
    <w:rsid w:val="0097464F"/>
    <w:rsid w:val="00974DC1"/>
    <w:rsid w:val="00980A7F"/>
    <w:rsid w:val="00981998"/>
    <w:rsid w:val="00982960"/>
    <w:rsid w:val="009830F5"/>
    <w:rsid w:val="00984C23"/>
    <w:rsid w:val="00990447"/>
    <w:rsid w:val="00991005"/>
    <w:rsid w:val="00992B30"/>
    <w:rsid w:val="00994378"/>
    <w:rsid w:val="009961B5"/>
    <w:rsid w:val="00996C08"/>
    <w:rsid w:val="00997943"/>
    <w:rsid w:val="009A08A3"/>
    <w:rsid w:val="009A2EE1"/>
    <w:rsid w:val="009A4D35"/>
    <w:rsid w:val="009A628F"/>
    <w:rsid w:val="009B143E"/>
    <w:rsid w:val="009B2401"/>
    <w:rsid w:val="009B4BED"/>
    <w:rsid w:val="009B52C1"/>
    <w:rsid w:val="009B59AF"/>
    <w:rsid w:val="009B5BF9"/>
    <w:rsid w:val="009B7FB3"/>
    <w:rsid w:val="009C09E8"/>
    <w:rsid w:val="009C16F0"/>
    <w:rsid w:val="009C2B0A"/>
    <w:rsid w:val="009C6705"/>
    <w:rsid w:val="009D0675"/>
    <w:rsid w:val="009D1330"/>
    <w:rsid w:val="009D4622"/>
    <w:rsid w:val="009D7581"/>
    <w:rsid w:val="009E21E3"/>
    <w:rsid w:val="009E2543"/>
    <w:rsid w:val="009E2605"/>
    <w:rsid w:val="009E2EE4"/>
    <w:rsid w:val="009E4324"/>
    <w:rsid w:val="009E4B25"/>
    <w:rsid w:val="009E5219"/>
    <w:rsid w:val="009E684E"/>
    <w:rsid w:val="009F026B"/>
    <w:rsid w:val="009F0E92"/>
    <w:rsid w:val="009F2B71"/>
    <w:rsid w:val="009F3099"/>
    <w:rsid w:val="009F382E"/>
    <w:rsid w:val="009F3C5A"/>
    <w:rsid w:val="009F43D4"/>
    <w:rsid w:val="009F4A25"/>
    <w:rsid w:val="009F5B62"/>
    <w:rsid w:val="009F65D1"/>
    <w:rsid w:val="009F73FA"/>
    <w:rsid w:val="00A02A93"/>
    <w:rsid w:val="00A039AD"/>
    <w:rsid w:val="00A05675"/>
    <w:rsid w:val="00A0601E"/>
    <w:rsid w:val="00A06548"/>
    <w:rsid w:val="00A116FF"/>
    <w:rsid w:val="00A1172B"/>
    <w:rsid w:val="00A12B12"/>
    <w:rsid w:val="00A12DE7"/>
    <w:rsid w:val="00A148EA"/>
    <w:rsid w:val="00A1712A"/>
    <w:rsid w:val="00A17CD5"/>
    <w:rsid w:val="00A20AFD"/>
    <w:rsid w:val="00A21336"/>
    <w:rsid w:val="00A2396F"/>
    <w:rsid w:val="00A25207"/>
    <w:rsid w:val="00A25A01"/>
    <w:rsid w:val="00A2631F"/>
    <w:rsid w:val="00A264F3"/>
    <w:rsid w:val="00A26B16"/>
    <w:rsid w:val="00A30E3B"/>
    <w:rsid w:val="00A31FC4"/>
    <w:rsid w:val="00A3263F"/>
    <w:rsid w:val="00A328CC"/>
    <w:rsid w:val="00A335CE"/>
    <w:rsid w:val="00A340D6"/>
    <w:rsid w:val="00A35862"/>
    <w:rsid w:val="00A3655B"/>
    <w:rsid w:val="00A37DCC"/>
    <w:rsid w:val="00A40C24"/>
    <w:rsid w:val="00A40CE2"/>
    <w:rsid w:val="00A41735"/>
    <w:rsid w:val="00A426DB"/>
    <w:rsid w:val="00A43B81"/>
    <w:rsid w:val="00A44589"/>
    <w:rsid w:val="00A460CC"/>
    <w:rsid w:val="00A464CF"/>
    <w:rsid w:val="00A52A22"/>
    <w:rsid w:val="00A5416B"/>
    <w:rsid w:val="00A550EA"/>
    <w:rsid w:val="00A57A89"/>
    <w:rsid w:val="00A61393"/>
    <w:rsid w:val="00A61E2C"/>
    <w:rsid w:val="00A63C2A"/>
    <w:rsid w:val="00A71AEC"/>
    <w:rsid w:val="00A71B59"/>
    <w:rsid w:val="00A71C25"/>
    <w:rsid w:val="00A72CAD"/>
    <w:rsid w:val="00A7329E"/>
    <w:rsid w:val="00A73DC7"/>
    <w:rsid w:val="00A75961"/>
    <w:rsid w:val="00A76565"/>
    <w:rsid w:val="00A76DB5"/>
    <w:rsid w:val="00A800DC"/>
    <w:rsid w:val="00A83042"/>
    <w:rsid w:val="00A83850"/>
    <w:rsid w:val="00A84D71"/>
    <w:rsid w:val="00A8502A"/>
    <w:rsid w:val="00A85A74"/>
    <w:rsid w:val="00A85AB3"/>
    <w:rsid w:val="00A85E89"/>
    <w:rsid w:val="00A86112"/>
    <w:rsid w:val="00A87708"/>
    <w:rsid w:val="00A90044"/>
    <w:rsid w:val="00A9174C"/>
    <w:rsid w:val="00A92355"/>
    <w:rsid w:val="00A934FF"/>
    <w:rsid w:val="00A94414"/>
    <w:rsid w:val="00A95393"/>
    <w:rsid w:val="00AA0917"/>
    <w:rsid w:val="00AA13AF"/>
    <w:rsid w:val="00AA2D1A"/>
    <w:rsid w:val="00AA435D"/>
    <w:rsid w:val="00AA4AB2"/>
    <w:rsid w:val="00AA5ECF"/>
    <w:rsid w:val="00AA685E"/>
    <w:rsid w:val="00AA6A01"/>
    <w:rsid w:val="00AB03A4"/>
    <w:rsid w:val="00AB1926"/>
    <w:rsid w:val="00AB22D1"/>
    <w:rsid w:val="00AB48CD"/>
    <w:rsid w:val="00AB50CB"/>
    <w:rsid w:val="00AB54A8"/>
    <w:rsid w:val="00AB5611"/>
    <w:rsid w:val="00AB56CB"/>
    <w:rsid w:val="00AB6281"/>
    <w:rsid w:val="00AB6F6E"/>
    <w:rsid w:val="00AC0F35"/>
    <w:rsid w:val="00AC117D"/>
    <w:rsid w:val="00AC23B9"/>
    <w:rsid w:val="00AC2823"/>
    <w:rsid w:val="00AC288A"/>
    <w:rsid w:val="00AC344C"/>
    <w:rsid w:val="00AC35BC"/>
    <w:rsid w:val="00AC56F4"/>
    <w:rsid w:val="00AC5FB0"/>
    <w:rsid w:val="00AC60DA"/>
    <w:rsid w:val="00AC663C"/>
    <w:rsid w:val="00AC7DF2"/>
    <w:rsid w:val="00AD1F49"/>
    <w:rsid w:val="00AD23B1"/>
    <w:rsid w:val="00AD2762"/>
    <w:rsid w:val="00AD2B6E"/>
    <w:rsid w:val="00AD3A24"/>
    <w:rsid w:val="00AD4026"/>
    <w:rsid w:val="00AD5164"/>
    <w:rsid w:val="00AD6456"/>
    <w:rsid w:val="00AE03C3"/>
    <w:rsid w:val="00AE165B"/>
    <w:rsid w:val="00AE16CB"/>
    <w:rsid w:val="00AE23D6"/>
    <w:rsid w:val="00AE3F18"/>
    <w:rsid w:val="00AE4E1A"/>
    <w:rsid w:val="00AE5A19"/>
    <w:rsid w:val="00AE5DA8"/>
    <w:rsid w:val="00AF0296"/>
    <w:rsid w:val="00AF1826"/>
    <w:rsid w:val="00AF2E7B"/>
    <w:rsid w:val="00AF2F2E"/>
    <w:rsid w:val="00AF2F6E"/>
    <w:rsid w:val="00AF6A2A"/>
    <w:rsid w:val="00AF7301"/>
    <w:rsid w:val="00B00744"/>
    <w:rsid w:val="00B019CA"/>
    <w:rsid w:val="00B02673"/>
    <w:rsid w:val="00B028FF"/>
    <w:rsid w:val="00B031CC"/>
    <w:rsid w:val="00B037C1"/>
    <w:rsid w:val="00B0444E"/>
    <w:rsid w:val="00B057A6"/>
    <w:rsid w:val="00B059A7"/>
    <w:rsid w:val="00B062C0"/>
    <w:rsid w:val="00B07EEA"/>
    <w:rsid w:val="00B109FD"/>
    <w:rsid w:val="00B10B53"/>
    <w:rsid w:val="00B10BB3"/>
    <w:rsid w:val="00B1193C"/>
    <w:rsid w:val="00B11AFD"/>
    <w:rsid w:val="00B11D63"/>
    <w:rsid w:val="00B12784"/>
    <w:rsid w:val="00B14075"/>
    <w:rsid w:val="00B1437B"/>
    <w:rsid w:val="00B1579D"/>
    <w:rsid w:val="00B15EA2"/>
    <w:rsid w:val="00B179AF"/>
    <w:rsid w:val="00B203A1"/>
    <w:rsid w:val="00B22AA3"/>
    <w:rsid w:val="00B22EDA"/>
    <w:rsid w:val="00B24231"/>
    <w:rsid w:val="00B24472"/>
    <w:rsid w:val="00B24597"/>
    <w:rsid w:val="00B257C7"/>
    <w:rsid w:val="00B259BB"/>
    <w:rsid w:val="00B2698F"/>
    <w:rsid w:val="00B272FF"/>
    <w:rsid w:val="00B27F29"/>
    <w:rsid w:val="00B3140F"/>
    <w:rsid w:val="00B316D5"/>
    <w:rsid w:val="00B324AA"/>
    <w:rsid w:val="00B3331A"/>
    <w:rsid w:val="00B338C3"/>
    <w:rsid w:val="00B342EA"/>
    <w:rsid w:val="00B34D16"/>
    <w:rsid w:val="00B372B2"/>
    <w:rsid w:val="00B41057"/>
    <w:rsid w:val="00B4118E"/>
    <w:rsid w:val="00B41FFA"/>
    <w:rsid w:val="00B426DB"/>
    <w:rsid w:val="00B43CA3"/>
    <w:rsid w:val="00B43DCE"/>
    <w:rsid w:val="00B43E1F"/>
    <w:rsid w:val="00B44398"/>
    <w:rsid w:val="00B44E56"/>
    <w:rsid w:val="00B46E07"/>
    <w:rsid w:val="00B50745"/>
    <w:rsid w:val="00B5117B"/>
    <w:rsid w:val="00B5132C"/>
    <w:rsid w:val="00B53A2F"/>
    <w:rsid w:val="00B544C3"/>
    <w:rsid w:val="00B55DE9"/>
    <w:rsid w:val="00B560B3"/>
    <w:rsid w:val="00B5741E"/>
    <w:rsid w:val="00B57D56"/>
    <w:rsid w:val="00B6087D"/>
    <w:rsid w:val="00B61213"/>
    <w:rsid w:val="00B613FA"/>
    <w:rsid w:val="00B620C1"/>
    <w:rsid w:val="00B6336C"/>
    <w:rsid w:val="00B63576"/>
    <w:rsid w:val="00B63B19"/>
    <w:rsid w:val="00B64802"/>
    <w:rsid w:val="00B66080"/>
    <w:rsid w:val="00B67378"/>
    <w:rsid w:val="00B700D5"/>
    <w:rsid w:val="00B700D8"/>
    <w:rsid w:val="00B705F0"/>
    <w:rsid w:val="00B733A2"/>
    <w:rsid w:val="00B733C5"/>
    <w:rsid w:val="00B737A3"/>
    <w:rsid w:val="00B744E0"/>
    <w:rsid w:val="00B755DA"/>
    <w:rsid w:val="00B758D2"/>
    <w:rsid w:val="00B76D41"/>
    <w:rsid w:val="00B7794C"/>
    <w:rsid w:val="00B82B3D"/>
    <w:rsid w:val="00B85465"/>
    <w:rsid w:val="00B868C6"/>
    <w:rsid w:val="00B86B01"/>
    <w:rsid w:val="00B86F7F"/>
    <w:rsid w:val="00B87071"/>
    <w:rsid w:val="00B9111F"/>
    <w:rsid w:val="00B915A7"/>
    <w:rsid w:val="00B91BCF"/>
    <w:rsid w:val="00B9288E"/>
    <w:rsid w:val="00B94F41"/>
    <w:rsid w:val="00B94F4E"/>
    <w:rsid w:val="00B96BF9"/>
    <w:rsid w:val="00B97F04"/>
    <w:rsid w:val="00BA0208"/>
    <w:rsid w:val="00BA1DDF"/>
    <w:rsid w:val="00BA1FCC"/>
    <w:rsid w:val="00BA239A"/>
    <w:rsid w:val="00BA3835"/>
    <w:rsid w:val="00BA48FA"/>
    <w:rsid w:val="00BA53B0"/>
    <w:rsid w:val="00BA650F"/>
    <w:rsid w:val="00BB0E54"/>
    <w:rsid w:val="00BB25D8"/>
    <w:rsid w:val="00BB2F4E"/>
    <w:rsid w:val="00BB3685"/>
    <w:rsid w:val="00BB4313"/>
    <w:rsid w:val="00BB4583"/>
    <w:rsid w:val="00BB5A6C"/>
    <w:rsid w:val="00BB5E94"/>
    <w:rsid w:val="00BB614B"/>
    <w:rsid w:val="00BB6642"/>
    <w:rsid w:val="00BC01BB"/>
    <w:rsid w:val="00BC0A90"/>
    <w:rsid w:val="00BC10DD"/>
    <w:rsid w:val="00BC1F8E"/>
    <w:rsid w:val="00BC24AE"/>
    <w:rsid w:val="00BC2F40"/>
    <w:rsid w:val="00BC4269"/>
    <w:rsid w:val="00BC5E61"/>
    <w:rsid w:val="00BC67E6"/>
    <w:rsid w:val="00BC6B56"/>
    <w:rsid w:val="00BC6D64"/>
    <w:rsid w:val="00BD42A2"/>
    <w:rsid w:val="00BD5F42"/>
    <w:rsid w:val="00BD6F5E"/>
    <w:rsid w:val="00BD782C"/>
    <w:rsid w:val="00BE0D32"/>
    <w:rsid w:val="00BE0EF0"/>
    <w:rsid w:val="00BE1C58"/>
    <w:rsid w:val="00BE2517"/>
    <w:rsid w:val="00BE3734"/>
    <w:rsid w:val="00BE5A85"/>
    <w:rsid w:val="00BF0C60"/>
    <w:rsid w:val="00BF4844"/>
    <w:rsid w:val="00BF58A6"/>
    <w:rsid w:val="00BF7917"/>
    <w:rsid w:val="00C017FC"/>
    <w:rsid w:val="00C019A5"/>
    <w:rsid w:val="00C0566F"/>
    <w:rsid w:val="00C06A16"/>
    <w:rsid w:val="00C0783D"/>
    <w:rsid w:val="00C10847"/>
    <w:rsid w:val="00C113F0"/>
    <w:rsid w:val="00C11CD8"/>
    <w:rsid w:val="00C12709"/>
    <w:rsid w:val="00C12B1D"/>
    <w:rsid w:val="00C139CF"/>
    <w:rsid w:val="00C15072"/>
    <w:rsid w:val="00C17148"/>
    <w:rsid w:val="00C17E2F"/>
    <w:rsid w:val="00C207F8"/>
    <w:rsid w:val="00C20C13"/>
    <w:rsid w:val="00C21E52"/>
    <w:rsid w:val="00C21F59"/>
    <w:rsid w:val="00C2236C"/>
    <w:rsid w:val="00C2317F"/>
    <w:rsid w:val="00C23337"/>
    <w:rsid w:val="00C2333A"/>
    <w:rsid w:val="00C23A05"/>
    <w:rsid w:val="00C23D41"/>
    <w:rsid w:val="00C24D80"/>
    <w:rsid w:val="00C256FF"/>
    <w:rsid w:val="00C25D45"/>
    <w:rsid w:val="00C279FE"/>
    <w:rsid w:val="00C30DD5"/>
    <w:rsid w:val="00C32C21"/>
    <w:rsid w:val="00C32D4D"/>
    <w:rsid w:val="00C32F64"/>
    <w:rsid w:val="00C33A29"/>
    <w:rsid w:val="00C345B3"/>
    <w:rsid w:val="00C35286"/>
    <w:rsid w:val="00C35806"/>
    <w:rsid w:val="00C36148"/>
    <w:rsid w:val="00C40033"/>
    <w:rsid w:val="00C401F1"/>
    <w:rsid w:val="00C43E8C"/>
    <w:rsid w:val="00C43E97"/>
    <w:rsid w:val="00C44571"/>
    <w:rsid w:val="00C445F2"/>
    <w:rsid w:val="00C50F1A"/>
    <w:rsid w:val="00C51C19"/>
    <w:rsid w:val="00C53183"/>
    <w:rsid w:val="00C537A6"/>
    <w:rsid w:val="00C53A90"/>
    <w:rsid w:val="00C5405E"/>
    <w:rsid w:val="00C568AF"/>
    <w:rsid w:val="00C606EA"/>
    <w:rsid w:val="00C61183"/>
    <w:rsid w:val="00C618F6"/>
    <w:rsid w:val="00C61EED"/>
    <w:rsid w:val="00C62A9B"/>
    <w:rsid w:val="00C62D7E"/>
    <w:rsid w:val="00C64821"/>
    <w:rsid w:val="00C64956"/>
    <w:rsid w:val="00C64B7A"/>
    <w:rsid w:val="00C65BFB"/>
    <w:rsid w:val="00C70BBB"/>
    <w:rsid w:val="00C71F4A"/>
    <w:rsid w:val="00C7308C"/>
    <w:rsid w:val="00C74918"/>
    <w:rsid w:val="00C756D1"/>
    <w:rsid w:val="00C75706"/>
    <w:rsid w:val="00C805EF"/>
    <w:rsid w:val="00C80A78"/>
    <w:rsid w:val="00C81189"/>
    <w:rsid w:val="00C842AB"/>
    <w:rsid w:val="00C84851"/>
    <w:rsid w:val="00C848D1"/>
    <w:rsid w:val="00C85524"/>
    <w:rsid w:val="00C85848"/>
    <w:rsid w:val="00C85D7C"/>
    <w:rsid w:val="00C86C8D"/>
    <w:rsid w:val="00C909C4"/>
    <w:rsid w:val="00C932E6"/>
    <w:rsid w:val="00C93303"/>
    <w:rsid w:val="00C93361"/>
    <w:rsid w:val="00C93C7C"/>
    <w:rsid w:val="00C94BAB"/>
    <w:rsid w:val="00C95276"/>
    <w:rsid w:val="00C953D9"/>
    <w:rsid w:val="00C95E21"/>
    <w:rsid w:val="00C96393"/>
    <w:rsid w:val="00C9689D"/>
    <w:rsid w:val="00C96B5A"/>
    <w:rsid w:val="00CA0512"/>
    <w:rsid w:val="00CA0AE3"/>
    <w:rsid w:val="00CA20E1"/>
    <w:rsid w:val="00CA2209"/>
    <w:rsid w:val="00CA5DF7"/>
    <w:rsid w:val="00CA7EB8"/>
    <w:rsid w:val="00CB0BB0"/>
    <w:rsid w:val="00CB10A9"/>
    <w:rsid w:val="00CB1A3C"/>
    <w:rsid w:val="00CB55F8"/>
    <w:rsid w:val="00CB59CC"/>
    <w:rsid w:val="00CB7510"/>
    <w:rsid w:val="00CB758E"/>
    <w:rsid w:val="00CB7FD3"/>
    <w:rsid w:val="00CC014B"/>
    <w:rsid w:val="00CC03DE"/>
    <w:rsid w:val="00CC1316"/>
    <w:rsid w:val="00CC1A14"/>
    <w:rsid w:val="00CC33A9"/>
    <w:rsid w:val="00CC4D87"/>
    <w:rsid w:val="00CC58C4"/>
    <w:rsid w:val="00CC6971"/>
    <w:rsid w:val="00CC6AC9"/>
    <w:rsid w:val="00CC7E05"/>
    <w:rsid w:val="00CD2722"/>
    <w:rsid w:val="00CD3D48"/>
    <w:rsid w:val="00CD4EE3"/>
    <w:rsid w:val="00CD6356"/>
    <w:rsid w:val="00CD700C"/>
    <w:rsid w:val="00CE0C70"/>
    <w:rsid w:val="00CE1DEA"/>
    <w:rsid w:val="00CE2325"/>
    <w:rsid w:val="00CE2EB7"/>
    <w:rsid w:val="00CE37EF"/>
    <w:rsid w:val="00CE3EC5"/>
    <w:rsid w:val="00CE45DB"/>
    <w:rsid w:val="00CE4EF2"/>
    <w:rsid w:val="00CE5901"/>
    <w:rsid w:val="00CE7A21"/>
    <w:rsid w:val="00CF1299"/>
    <w:rsid w:val="00CF24EB"/>
    <w:rsid w:val="00CF2B08"/>
    <w:rsid w:val="00CF3B4E"/>
    <w:rsid w:val="00CF58C3"/>
    <w:rsid w:val="00CF7F47"/>
    <w:rsid w:val="00D01B32"/>
    <w:rsid w:val="00D02E9C"/>
    <w:rsid w:val="00D04221"/>
    <w:rsid w:val="00D04B36"/>
    <w:rsid w:val="00D04D71"/>
    <w:rsid w:val="00D06483"/>
    <w:rsid w:val="00D0678C"/>
    <w:rsid w:val="00D068EF"/>
    <w:rsid w:val="00D07475"/>
    <w:rsid w:val="00D10319"/>
    <w:rsid w:val="00D11921"/>
    <w:rsid w:val="00D11B7C"/>
    <w:rsid w:val="00D14C8C"/>
    <w:rsid w:val="00D16167"/>
    <w:rsid w:val="00D166AE"/>
    <w:rsid w:val="00D16AFF"/>
    <w:rsid w:val="00D2287D"/>
    <w:rsid w:val="00D22B0A"/>
    <w:rsid w:val="00D25563"/>
    <w:rsid w:val="00D257E2"/>
    <w:rsid w:val="00D2700F"/>
    <w:rsid w:val="00D27073"/>
    <w:rsid w:val="00D30256"/>
    <w:rsid w:val="00D30C2A"/>
    <w:rsid w:val="00D31A4C"/>
    <w:rsid w:val="00D32B3E"/>
    <w:rsid w:val="00D32CFB"/>
    <w:rsid w:val="00D34671"/>
    <w:rsid w:val="00D36B88"/>
    <w:rsid w:val="00D4085B"/>
    <w:rsid w:val="00D41AEE"/>
    <w:rsid w:val="00D4462F"/>
    <w:rsid w:val="00D46991"/>
    <w:rsid w:val="00D475BB"/>
    <w:rsid w:val="00D47B4F"/>
    <w:rsid w:val="00D50D86"/>
    <w:rsid w:val="00D515E4"/>
    <w:rsid w:val="00D53F47"/>
    <w:rsid w:val="00D54C43"/>
    <w:rsid w:val="00D54F29"/>
    <w:rsid w:val="00D558EE"/>
    <w:rsid w:val="00D55C71"/>
    <w:rsid w:val="00D57687"/>
    <w:rsid w:val="00D579C9"/>
    <w:rsid w:val="00D60477"/>
    <w:rsid w:val="00D62A88"/>
    <w:rsid w:val="00D638F7"/>
    <w:rsid w:val="00D63BBE"/>
    <w:rsid w:val="00D65CA0"/>
    <w:rsid w:val="00D6625E"/>
    <w:rsid w:val="00D6714A"/>
    <w:rsid w:val="00D702E9"/>
    <w:rsid w:val="00D70D54"/>
    <w:rsid w:val="00D72465"/>
    <w:rsid w:val="00D741C0"/>
    <w:rsid w:val="00D7451B"/>
    <w:rsid w:val="00D7510C"/>
    <w:rsid w:val="00D75300"/>
    <w:rsid w:val="00D75A9D"/>
    <w:rsid w:val="00D75D80"/>
    <w:rsid w:val="00D76393"/>
    <w:rsid w:val="00D76E0A"/>
    <w:rsid w:val="00D800F6"/>
    <w:rsid w:val="00D823D2"/>
    <w:rsid w:val="00D84070"/>
    <w:rsid w:val="00D8517C"/>
    <w:rsid w:val="00D8612A"/>
    <w:rsid w:val="00D87A6B"/>
    <w:rsid w:val="00D90801"/>
    <w:rsid w:val="00D90FFC"/>
    <w:rsid w:val="00D951FF"/>
    <w:rsid w:val="00D95359"/>
    <w:rsid w:val="00D95801"/>
    <w:rsid w:val="00D96FBA"/>
    <w:rsid w:val="00D97568"/>
    <w:rsid w:val="00DA0339"/>
    <w:rsid w:val="00DA2115"/>
    <w:rsid w:val="00DA4EAE"/>
    <w:rsid w:val="00DA644C"/>
    <w:rsid w:val="00DA6A9D"/>
    <w:rsid w:val="00DA6AF8"/>
    <w:rsid w:val="00DA6C37"/>
    <w:rsid w:val="00DA73B7"/>
    <w:rsid w:val="00DA7BCD"/>
    <w:rsid w:val="00DA7C09"/>
    <w:rsid w:val="00DB1038"/>
    <w:rsid w:val="00DB13BB"/>
    <w:rsid w:val="00DB1BF1"/>
    <w:rsid w:val="00DB1D87"/>
    <w:rsid w:val="00DB5267"/>
    <w:rsid w:val="00DC01A3"/>
    <w:rsid w:val="00DC2628"/>
    <w:rsid w:val="00DC2C40"/>
    <w:rsid w:val="00DC33F4"/>
    <w:rsid w:val="00DC4C6E"/>
    <w:rsid w:val="00DC7151"/>
    <w:rsid w:val="00DC7FA8"/>
    <w:rsid w:val="00DD11E4"/>
    <w:rsid w:val="00DD3E09"/>
    <w:rsid w:val="00DD573A"/>
    <w:rsid w:val="00DD66A0"/>
    <w:rsid w:val="00DE09D7"/>
    <w:rsid w:val="00DE0B0C"/>
    <w:rsid w:val="00DE494E"/>
    <w:rsid w:val="00DE5123"/>
    <w:rsid w:val="00DE633C"/>
    <w:rsid w:val="00DF026F"/>
    <w:rsid w:val="00DF1CB7"/>
    <w:rsid w:val="00DF3189"/>
    <w:rsid w:val="00DF5B8B"/>
    <w:rsid w:val="00DF6140"/>
    <w:rsid w:val="00DF642A"/>
    <w:rsid w:val="00E02E4F"/>
    <w:rsid w:val="00E041C3"/>
    <w:rsid w:val="00E05157"/>
    <w:rsid w:val="00E05624"/>
    <w:rsid w:val="00E058D6"/>
    <w:rsid w:val="00E063C4"/>
    <w:rsid w:val="00E11459"/>
    <w:rsid w:val="00E118A3"/>
    <w:rsid w:val="00E12668"/>
    <w:rsid w:val="00E13658"/>
    <w:rsid w:val="00E13688"/>
    <w:rsid w:val="00E154DB"/>
    <w:rsid w:val="00E1569B"/>
    <w:rsid w:val="00E157BB"/>
    <w:rsid w:val="00E15E87"/>
    <w:rsid w:val="00E202EA"/>
    <w:rsid w:val="00E20C1B"/>
    <w:rsid w:val="00E20D8C"/>
    <w:rsid w:val="00E2199C"/>
    <w:rsid w:val="00E2225B"/>
    <w:rsid w:val="00E226D7"/>
    <w:rsid w:val="00E22B99"/>
    <w:rsid w:val="00E23FFA"/>
    <w:rsid w:val="00E24111"/>
    <w:rsid w:val="00E26694"/>
    <w:rsid w:val="00E26AC3"/>
    <w:rsid w:val="00E276FF"/>
    <w:rsid w:val="00E31508"/>
    <w:rsid w:val="00E32297"/>
    <w:rsid w:val="00E33287"/>
    <w:rsid w:val="00E34E10"/>
    <w:rsid w:val="00E3700F"/>
    <w:rsid w:val="00E414A3"/>
    <w:rsid w:val="00E42B90"/>
    <w:rsid w:val="00E4367D"/>
    <w:rsid w:val="00E445FB"/>
    <w:rsid w:val="00E446C0"/>
    <w:rsid w:val="00E44C8A"/>
    <w:rsid w:val="00E452C5"/>
    <w:rsid w:val="00E45BB2"/>
    <w:rsid w:val="00E466A3"/>
    <w:rsid w:val="00E46AE6"/>
    <w:rsid w:val="00E478D0"/>
    <w:rsid w:val="00E51364"/>
    <w:rsid w:val="00E522F3"/>
    <w:rsid w:val="00E52497"/>
    <w:rsid w:val="00E53832"/>
    <w:rsid w:val="00E53A65"/>
    <w:rsid w:val="00E55D7E"/>
    <w:rsid w:val="00E5636C"/>
    <w:rsid w:val="00E57B67"/>
    <w:rsid w:val="00E636F1"/>
    <w:rsid w:val="00E63A92"/>
    <w:rsid w:val="00E63B9E"/>
    <w:rsid w:val="00E66190"/>
    <w:rsid w:val="00E66962"/>
    <w:rsid w:val="00E66DC8"/>
    <w:rsid w:val="00E66E3B"/>
    <w:rsid w:val="00E677AE"/>
    <w:rsid w:val="00E67CEF"/>
    <w:rsid w:val="00E71B1C"/>
    <w:rsid w:val="00E71BF7"/>
    <w:rsid w:val="00E7210C"/>
    <w:rsid w:val="00E74F81"/>
    <w:rsid w:val="00E7612E"/>
    <w:rsid w:val="00E80BBA"/>
    <w:rsid w:val="00E8188B"/>
    <w:rsid w:val="00E839E0"/>
    <w:rsid w:val="00E83D5A"/>
    <w:rsid w:val="00E83ED1"/>
    <w:rsid w:val="00E914ED"/>
    <w:rsid w:val="00E92407"/>
    <w:rsid w:val="00E97C1D"/>
    <w:rsid w:val="00E97EDD"/>
    <w:rsid w:val="00E97FC0"/>
    <w:rsid w:val="00EA1592"/>
    <w:rsid w:val="00EA1658"/>
    <w:rsid w:val="00EA3922"/>
    <w:rsid w:val="00EA3BB0"/>
    <w:rsid w:val="00EA3C50"/>
    <w:rsid w:val="00EA3EDE"/>
    <w:rsid w:val="00EA512E"/>
    <w:rsid w:val="00EA596E"/>
    <w:rsid w:val="00EA7178"/>
    <w:rsid w:val="00EA7EF5"/>
    <w:rsid w:val="00EB2AD8"/>
    <w:rsid w:val="00EB3687"/>
    <w:rsid w:val="00EB3B2D"/>
    <w:rsid w:val="00EB5376"/>
    <w:rsid w:val="00EB6F47"/>
    <w:rsid w:val="00EB711F"/>
    <w:rsid w:val="00EC204A"/>
    <w:rsid w:val="00EC2283"/>
    <w:rsid w:val="00EC2BFA"/>
    <w:rsid w:val="00EC56DB"/>
    <w:rsid w:val="00EC6574"/>
    <w:rsid w:val="00ED1FEE"/>
    <w:rsid w:val="00ED2E59"/>
    <w:rsid w:val="00ED3119"/>
    <w:rsid w:val="00ED3458"/>
    <w:rsid w:val="00ED55DD"/>
    <w:rsid w:val="00ED7CA7"/>
    <w:rsid w:val="00EE06EA"/>
    <w:rsid w:val="00EE0BD3"/>
    <w:rsid w:val="00EE168A"/>
    <w:rsid w:val="00EE1E31"/>
    <w:rsid w:val="00EE237F"/>
    <w:rsid w:val="00EE2754"/>
    <w:rsid w:val="00EE4C35"/>
    <w:rsid w:val="00EE5673"/>
    <w:rsid w:val="00EE66EC"/>
    <w:rsid w:val="00EF0D80"/>
    <w:rsid w:val="00EF2AFC"/>
    <w:rsid w:val="00EF4BBF"/>
    <w:rsid w:val="00EF50BF"/>
    <w:rsid w:val="00EF5848"/>
    <w:rsid w:val="00EF6356"/>
    <w:rsid w:val="00F00FC9"/>
    <w:rsid w:val="00F03C89"/>
    <w:rsid w:val="00F03C94"/>
    <w:rsid w:val="00F04DE1"/>
    <w:rsid w:val="00F06C4A"/>
    <w:rsid w:val="00F125F7"/>
    <w:rsid w:val="00F1419C"/>
    <w:rsid w:val="00F15D64"/>
    <w:rsid w:val="00F161FC"/>
    <w:rsid w:val="00F16FC1"/>
    <w:rsid w:val="00F177A8"/>
    <w:rsid w:val="00F2271E"/>
    <w:rsid w:val="00F22F96"/>
    <w:rsid w:val="00F23A1F"/>
    <w:rsid w:val="00F26103"/>
    <w:rsid w:val="00F267BB"/>
    <w:rsid w:val="00F275E2"/>
    <w:rsid w:val="00F315D0"/>
    <w:rsid w:val="00F315ED"/>
    <w:rsid w:val="00F31961"/>
    <w:rsid w:val="00F32A78"/>
    <w:rsid w:val="00F33911"/>
    <w:rsid w:val="00F35062"/>
    <w:rsid w:val="00F35583"/>
    <w:rsid w:val="00F3609D"/>
    <w:rsid w:val="00F37024"/>
    <w:rsid w:val="00F4164A"/>
    <w:rsid w:val="00F42C2B"/>
    <w:rsid w:val="00F42C66"/>
    <w:rsid w:val="00F447F7"/>
    <w:rsid w:val="00F44B0A"/>
    <w:rsid w:val="00F46437"/>
    <w:rsid w:val="00F46968"/>
    <w:rsid w:val="00F50D37"/>
    <w:rsid w:val="00F51EAE"/>
    <w:rsid w:val="00F523F4"/>
    <w:rsid w:val="00F52E34"/>
    <w:rsid w:val="00F5413B"/>
    <w:rsid w:val="00F548FB"/>
    <w:rsid w:val="00F55E11"/>
    <w:rsid w:val="00F561D0"/>
    <w:rsid w:val="00F56CC0"/>
    <w:rsid w:val="00F5723C"/>
    <w:rsid w:val="00F57512"/>
    <w:rsid w:val="00F57877"/>
    <w:rsid w:val="00F60565"/>
    <w:rsid w:val="00F60A8B"/>
    <w:rsid w:val="00F61B4B"/>
    <w:rsid w:val="00F62A1F"/>
    <w:rsid w:val="00F632BC"/>
    <w:rsid w:val="00F647DA"/>
    <w:rsid w:val="00F64D4B"/>
    <w:rsid w:val="00F651AE"/>
    <w:rsid w:val="00F666F9"/>
    <w:rsid w:val="00F667B9"/>
    <w:rsid w:val="00F67520"/>
    <w:rsid w:val="00F67FD4"/>
    <w:rsid w:val="00F745B9"/>
    <w:rsid w:val="00F75DE8"/>
    <w:rsid w:val="00F763FA"/>
    <w:rsid w:val="00F76FE8"/>
    <w:rsid w:val="00F822CB"/>
    <w:rsid w:val="00F859A2"/>
    <w:rsid w:val="00F86B80"/>
    <w:rsid w:val="00F87CAF"/>
    <w:rsid w:val="00F90C16"/>
    <w:rsid w:val="00F91567"/>
    <w:rsid w:val="00F91D86"/>
    <w:rsid w:val="00F941E3"/>
    <w:rsid w:val="00F94609"/>
    <w:rsid w:val="00F9633B"/>
    <w:rsid w:val="00F966A6"/>
    <w:rsid w:val="00F966FC"/>
    <w:rsid w:val="00FA0A7E"/>
    <w:rsid w:val="00FA1B5A"/>
    <w:rsid w:val="00FA2E05"/>
    <w:rsid w:val="00FA4DCE"/>
    <w:rsid w:val="00FA5371"/>
    <w:rsid w:val="00FA593B"/>
    <w:rsid w:val="00FA5F8F"/>
    <w:rsid w:val="00FA77FF"/>
    <w:rsid w:val="00FB0636"/>
    <w:rsid w:val="00FB1F80"/>
    <w:rsid w:val="00FB3B9E"/>
    <w:rsid w:val="00FB3E32"/>
    <w:rsid w:val="00FB5883"/>
    <w:rsid w:val="00FC10BB"/>
    <w:rsid w:val="00FC12B8"/>
    <w:rsid w:val="00FC21A7"/>
    <w:rsid w:val="00FC3C93"/>
    <w:rsid w:val="00FC46B2"/>
    <w:rsid w:val="00FC4AFB"/>
    <w:rsid w:val="00FC571E"/>
    <w:rsid w:val="00FC63AE"/>
    <w:rsid w:val="00FC761E"/>
    <w:rsid w:val="00FD0C4C"/>
    <w:rsid w:val="00FD0CA3"/>
    <w:rsid w:val="00FD270D"/>
    <w:rsid w:val="00FD28AC"/>
    <w:rsid w:val="00FD29E3"/>
    <w:rsid w:val="00FD344C"/>
    <w:rsid w:val="00FD3F7E"/>
    <w:rsid w:val="00FD440B"/>
    <w:rsid w:val="00FD5638"/>
    <w:rsid w:val="00FD7A10"/>
    <w:rsid w:val="00FE07C1"/>
    <w:rsid w:val="00FE0D18"/>
    <w:rsid w:val="00FE4C6C"/>
    <w:rsid w:val="00FE4E6E"/>
    <w:rsid w:val="00FE7D5A"/>
    <w:rsid w:val="00FF409C"/>
    <w:rsid w:val="00FF5AB2"/>
    <w:rsid w:val="00FF5D55"/>
    <w:rsid w:val="00FF66C0"/>
    <w:rsid w:val="00FF78B5"/>
    <w:rsid w:val="00FF7B6A"/>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930DA"/>
  <w15:docId w15:val="{12139D04-B337-41F3-AFA6-9E08E658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ko-KR"/>
    </w:rPr>
  </w:style>
  <w:style w:type="paragraph" w:styleId="Heading1">
    <w:name w:val="heading 1"/>
    <w:basedOn w:val="Normal"/>
    <w:next w:val="Normal"/>
    <w:link w:val="Heading1Char"/>
    <w:uiPriority w:val="9"/>
    <w:qFormat/>
    <w:rsid w:val="00CE45DB"/>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next w:val="Normal"/>
    <w:link w:val="Heading2Char"/>
    <w:qFormat/>
    <w:rsid w:val="00A61E2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4A1E94"/>
    <w:pPr>
      <w:keepNext/>
      <w:spacing w:before="240" w:after="60"/>
      <w:outlineLvl w:val="2"/>
    </w:pPr>
    <w:rPr>
      <w:rFonts w:eastAsia="Times New Roman" w:cs="Arial"/>
      <w:b/>
      <w:bCs/>
      <w:sz w:val="26"/>
      <w:szCs w:val="26"/>
      <w:lang w:eastAsia="en-US"/>
    </w:rPr>
  </w:style>
  <w:style w:type="paragraph" w:styleId="Heading4">
    <w:name w:val="heading 4"/>
    <w:basedOn w:val="Normal"/>
    <w:next w:val="Normal"/>
    <w:link w:val="Heading4Char"/>
    <w:qFormat/>
    <w:rsid w:val="00FB5883"/>
    <w:pPr>
      <w:pageBreakBefore/>
      <w:spacing w:after="360" w:line="264" w:lineRule="auto"/>
      <w:jc w:val="center"/>
      <w:outlineLvl w:val="3"/>
    </w:pPr>
    <w:rPr>
      <w:rFonts w:eastAsia="Times New Roman"/>
      <w:b/>
      <w:sz w:val="28"/>
      <w:szCs w:val="28"/>
      <w:lang w:val="pl-PL" w:eastAsia="en-US"/>
    </w:rPr>
  </w:style>
  <w:style w:type="paragraph" w:styleId="Heading5">
    <w:name w:val="heading 5"/>
    <w:basedOn w:val="Normal"/>
    <w:next w:val="Normal"/>
    <w:link w:val="Heading5Char"/>
    <w:qFormat/>
    <w:rsid w:val="00FB5883"/>
    <w:pPr>
      <w:keepNext/>
      <w:pageBreakBefore/>
      <w:tabs>
        <w:tab w:val="left" w:pos="360"/>
      </w:tabs>
      <w:spacing w:after="360" w:line="264" w:lineRule="auto"/>
      <w:jc w:val="center"/>
      <w:outlineLvl w:val="4"/>
    </w:pPr>
    <w:rPr>
      <w:b/>
      <w:sz w:val="28"/>
      <w:szCs w:val="20"/>
      <w:lang w:eastAsia="en-US"/>
    </w:rPr>
  </w:style>
  <w:style w:type="paragraph" w:styleId="Heading6">
    <w:name w:val="heading 6"/>
    <w:basedOn w:val="Normal"/>
    <w:next w:val="Normal"/>
    <w:link w:val="Heading6Char"/>
    <w:rsid w:val="00FB5883"/>
    <w:pPr>
      <w:keepNext/>
      <w:widowControl w:val="0"/>
      <w:numPr>
        <w:ilvl w:val="5"/>
        <w:numId w:val="11"/>
      </w:numPr>
      <w:spacing w:line="264" w:lineRule="auto"/>
      <w:jc w:val="center"/>
      <w:outlineLvl w:val="5"/>
    </w:pPr>
    <w:rPr>
      <w:b/>
      <w:sz w:val="28"/>
      <w:lang w:eastAsia="en-US"/>
    </w:rPr>
  </w:style>
  <w:style w:type="paragraph" w:styleId="Heading7">
    <w:name w:val="heading 7"/>
    <w:basedOn w:val="Normal"/>
    <w:next w:val="Normal"/>
    <w:link w:val="Heading7Char"/>
    <w:rsid w:val="00FB5883"/>
    <w:pPr>
      <w:keepNext/>
      <w:numPr>
        <w:ilvl w:val="6"/>
        <w:numId w:val="11"/>
      </w:numPr>
      <w:spacing w:line="264" w:lineRule="auto"/>
      <w:jc w:val="center"/>
      <w:outlineLvl w:val="6"/>
    </w:pPr>
    <w:rPr>
      <w:rFonts w:ascii=".VnTime" w:hAnsi=".VnTime"/>
      <w:b/>
      <w:sz w:val="20"/>
      <w:szCs w:val="20"/>
      <w:lang w:eastAsia="en-US"/>
    </w:rPr>
  </w:style>
  <w:style w:type="paragraph" w:styleId="Heading8">
    <w:name w:val="heading 8"/>
    <w:basedOn w:val="Normal"/>
    <w:next w:val="Normal"/>
    <w:link w:val="Heading8Char"/>
    <w:rsid w:val="00FB5883"/>
    <w:pPr>
      <w:keepNext/>
      <w:numPr>
        <w:ilvl w:val="7"/>
        <w:numId w:val="11"/>
      </w:numPr>
      <w:spacing w:line="264" w:lineRule="auto"/>
      <w:jc w:val="both"/>
      <w:outlineLvl w:val="7"/>
    </w:pPr>
    <w:rPr>
      <w:rFonts w:ascii=".VnTime" w:eastAsia="Times New Roman" w:hAnsi=".VnTime"/>
      <w:b/>
      <w:i/>
      <w:sz w:val="28"/>
      <w:szCs w:val="20"/>
      <w:lang w:eastAsia="en-US"/>
    </w:rPr>
  </w:style>
  <w:style w:type="paragraph" w:styleId="Heading9">
    <w:name w:val="heading 9"/>
    <w:basedOn w:val="Normal"/>
    <w:next w:val="Normal"/>
    <w:link w:val="Heading9Char"/>
    <w:rsid w:val="00FB5883"/>
    <w:pPr>
      <w:numPr>
        <w:ilvl w:val="8"/>
        <w:numId w:val="11"/>
      </w:numPr>
      <w:spacing w:before="240" w:after="60" w:line="264" w:lineRule="auto"/>
      <w:outlineLvl w:val="8"/>
    </w:pPr>
    <w:rPr>
      <w:rFonts w:ascii="Arial"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E45DB"/>
    <w:rPr>
      <w:rFonts w:ascii="Cambria" w:eastAsia="Times New Roman" w:hAnsi="Cambria" w:cs="Times New Roman"/>
      <w:b/>
      <w:bCs/>
      <w:kern w:val="32"/>
      <w:sz w:val="32"/>
      <w:szCs w:val="32"/>
      <w:lang w:eastAsia="ko-KR"/>
    </w:rPr>
  </w:style>
  <w:style w:type="character" w:customStyle="1" w:styleId="Heading2Char">
    <w:name w:val="Heading 2 Char"/>
    <w:basedOn w:val="DefaultParagraphFont"/>
    <w:link w:val="Heading2"/>
    <w:rsid w:val="005049AA"/>
    <w:rPr>
      <w:rFonts w:ascii="Arial" w:hAnsi="Arial" w:cs="Arial"/>
      <w:b/>
      <w:bCs/>
      <w:i/>
      <w:iCs/>
      <w:sz w:val="28"/>
      <w:szCs w:val="28"/>
      <w:lang w:eastAsia="ko-KR"/>
    </w:rPr>
  </w:style>
  <w:style w:type="character" w:customStyle="1" w:styleId="Heading3Char">
    <w:name w:val="Heading 3 Char"/>
    <w:basedOn w:val="DefaultParagraphFont"/>
    <w:link w:val="Heading3"/>
    <w:rsid w:val="005049AA"/>
    <w:rPr>
      <w:rFonts w:eastAsia="Times New Roman" w:cs="Arial"/>
      <w:b/>
      <w:bCs/>
      <w:sz w:val="26"/>
      <w:szCs w:val="26"/>
    </w:rPr>
  </w:style>
  <w:style w:type="table" w:styleId="TableGrid">
    <w:name w:val="Table Grid"/>
    <w:basedOn w:val="TableNormal"/>
    <w:uiPriority w:val="59"/>
    <w:rsid w:val="000365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94414"/>
    <w:rPr>
      <w:rFonts w:ascii="Tahoma" w:hAnsi="Tahoma" w:cs="Tahoma"/>
      <w:sz w:val="16"/>
      <w:szCs w:val="16"/>
    </w:rPr>
  </w:style>
  <w:style w:type="character" w:customStyle="1" w:styleId="BalloonTextChar">
    <w:name w:val="Balloon Text Char"/>
    <w:basedOn w:val="DefaultParagraphFont"/>
    <w:link w:val="BalloonText"/>
    <w:uiPriority w:val="99"/>
    <w:semiHidden/>
    <w:rsid w:val="005049AA"/>
    <w:rPr>
      <w:rFonts w:ascii="Tahoma" w:hAnsi="Tahoma" w:cs="Tahoma"/>
      <w:sz w:val="16"/>
      <w:szCs w:val="16"/>
      <w:lang w:eastAsia="ko-KR"/>
    </w:rPr>
  </w:style>
  <w:style w:type="paragraph" w:styleId="FootnoteText">
    <w:name w:val="footnote text"/>
    <w:aliases w:val="Footnote Text Char1 Char1,Footnote Text Char Char Char1,Footnote Text Char1 Char Char,Footnote Text Char Char Char Char Char Char Char,Footnote Text1,Footnote Text Char1 Char11,Footnote Text Char Char Char11,fn,ft,f,З,ADB,single space,C,A"/>
    <w:basedOn w:val="Normal"/>
    <w:link w:val="FootnoteTextChar"/>
    <w:uiPriority w:val="99"/>
    <w:qFormat/>
    <w:rsid w:val="001216A9"/>
    <w:rPr>
      <w:sz w:val="20"/>
      <w:szCs w:val="20"/>
      <w:lang w:val="x-none"/>
    </w:rPr>
  </w:style>
  <w:style w:type="character" w:customStyle="1" w:styleId="FootnoteTextChar">
    <w:name w:val="Footnote Text Char"/>
    <w:aliases w:val="Footnote Text Char1 Char1 Char,Footnote Text Char Char Char1 Char,Footnote Text Char1 Char Char Char,Footnote Text Char Char Char Char Char Char Char Char,Footnote Text1 Char,Footnote Text Char1 Char11 Char,fn Char,ft Char,f Char"/>
    <w:link w:val="FootnoteText"/>
    <w:uiPriority w:val="99"/>
    <w:qFormat/>
    <w:rsid w:val="00EB5376"/>
    <w:rPr>
      <w:lang w:eastAsia="ko-KR"/>
    </w:rPr>
  </w:style>
  <w:style w:type="character" w:styleId="FootnoteReference">
    <w:name w:val="footnote reference"/>
    <w:aliases w:val="Footnote,Footnote text,ftref,(NECG) Footnote Reference,16 Point,Superscript 6 Point,Footnote + Arial,10 pt,Black,SUPERS,Footnote dich,fr,BVI fnr,footnote ref, BVI fnr,Footnote Reference Number,Знак сноски 1,Ref,de nota al pie,R,10,f1"/>
    <w:link w:val="CarattereCarattereCharCharCharCharCharCharZchn"/>
    <w:uiPriority w:val="99"/>
    <w:qFormat/>
    <w:rsid w:val="001216A9"/>
    <w:rPr>
      <w:vertAlign w:val="superscript"/>
    </w:rPr>
  </w:style>
  <w:style w:type="paragraph" w:styleId="BodyText2">
    <w:name w:val="Body Text 2"/>
    <w:basedOn w:val="Normal"/>
    <w:link w:val="BodyText2Char"/>
    <w:uiPriority w:val="99"/>
    <w:rsid w:val="0090526B"/>
    <w:pPr>
      <w:jc w:val="both"/>
    </w:pPr>
    <w:rPr>
      <w:rFonts w:ascii=".VnTime" w:eastAsia="Times New Roman" w:hAnsi=".VnTime"/>
      <w:b/>
      <w:bCs/>
      <w:sz w:val="28"/>
      <w:lang w:eastAsia="en-US"/>
    </w:rPr>
  </w:style>
  <w:style w:type="paragraph" w:styleId="Footer">
    <w:name w:val="footer"/>
    <w:basedOn w:val="Normal"/>
    <w:link w:val="FooterChar"/>
    <w:uiPriority w:val="99"/>
    <w:rsid w:val="00EF50BF"/>
    <w:pPr>
      <w:tabs>
        <w:tab w:val="center" w:pos="4320"/>
        <w:tab w:val="right" w:pos="8640"/>
      </w:tabs>
    </w:pPr>
    <w:rPr>
      <w:lang w:val="x-none"/>
    </w:rPr>
  </w:style>
  <w:style w:type="character" w:customStyle="1" w:styleId="FooterChar">
    <w:name w:val="Footer Char"/>
    <w:link w:val="Footer"/>
    <w:uiPriority w:val="99"/>
    <w:rsid w:val="00B338C3"/>
    <w:rPr>
      <w:sz w:val="24"/>
      <w:szCs w:val="24"/>
      <w:lang w:eastAsia="ko-KR"/>
    </w:rPr>
  </w:style>
  <w:style w:type="character" w:styleId="PageNumber">
    <w:name w:val="page number"/>
    <w:basedOn w:val="DefaultParagraphFont"/>
    <w:rsid w:val="00EF50BF"/>
  </w:style>
  <w:style w:type="character" w:styleId="Hyperlink">
    <w:name w:val="Hyperlink"/>
    <w:unhideWhenUsed/>
    <w:rsid w:val="00D475BB"/>
    <w:rPr>
      <w:color w:val="0000FF"/>
      <w:u w:val="single"/>
    </w:rPr>
  </w:style>
  <w:style w:type="paragraph" w:styleId="Header">
    <w:name w:val="header"/>
    <w:basedOn w:val="Normal"/>
    <w:link w:val="HeaderChar"/>
    <w:uiPriority w:val="99"/>
    <w:rsid w:val="00B338C3"/>
    <w:pPr>
      <w:tabs>
        <w:tab w:val="center" w:pos="4680"/>
        <w:tab w:val="right" w:pos="9360"/>
      </w:tabs>
    </w:pPr>
    <w:rPr>
      <w:lang w:val="x-none"/>
    </w:rPr>
  </w:style>
  <w:style w:type="character" w:customStyle="1" w:styleId="HeaderChar">
    <w:name w:val="Header Char"/>
    <w:link w:val="Header"/>
    <w:uiPriority w:val="99"/>
    <w:rsid w:val="00B338C3"/>
    <w:rPr>
      <w:sz w:val="24"/>
      <w:szCs w:val="24"/>
      <w:lang w:eastAsia="ko-KR"/>
    </w:rPr>
  </w:style>
  <w:style w:type="paragraph" w:customStyle="1" w:styleId="BodyText21">
    <w:name w:val="Body Text 21"/>
    <w:basedOn w:val="Normal"/>
    <w:rsid w:val="00227C8F"/>
    <w:pPr>
      <w:widowControl w:val="0"/>
      <w:jc w:val="both"/>
    </w:pPr>
    <w:rPr>
      <w:rFonts w:eastAsia="Times New Roman"/>
      <w:b/>
      <w:snapToGrid w:val="0"/>
      <w:sz w:val="28"/>
      <w:szCs w:val="20"/>
      <w:lang w:eastAsia="en-US"/>
    </w:rPr>
  </w:style>
  <w:style w:type="paragraph" w:styleId="ListParagraph">
    <w:name w:val="List Paragraph"/>
    <w:aliases w:val="Notes,ANNEX,List Paragraph1,List Paragraph2,Bullets,References,List Paragraph (numbered (a)),List Paragraph 1,bullet,bullet 1,Thang2,List Paragraph11,List Paragraph12,List Paragraph111,VNA - List Paragraph,1.,Table Sequence,My checklist"/>
    <w:basedOn w:val="Normal"/>
    <w:link w:val="ListParagraphChar"/>
    <w:uiPriority w:val="34"/>
    <w:qFormat/>
    <w:rsid w:val="00CE0C70"/>
    <w:pPr>
      <w:spacing w:line="276" w:lineRule="auto"/>
      <w:ind w:left="720"/>
      <w:contextualSpacing/>
    </w:pPr>
    <w:rPr>
      <w:rFonts w:eastAsia="Calibri"/>
      <w:lang w:val="x-none" w:eastAsia="x-none"/>
    </w:rPr>
  </w:style>
  <w:style w:type="character" w:customStyle="1" w:styleId="ListParagraphChar">
    <w:name w:val="List Paragraph Char"/>
    <w:aliases w:val="Notes Char,ANNEX Char,List Paragraph1 Char,List Paragraph2 Char,Bullets Char,References Char,List Paragraph (numbered (a)) Char,List Paragraph 1 Char,bullet Char,bullet 1 Char,Thang2 Char,List Paragraph11 Char,List Paragraph12 Char"/>
    <w:link w:val="ListParagraph"/>
    <w:uiPriority w:val="34"/>
    <w:qFormat/>
    <w:locked/>
    <w:rsid w:val="00CE0C70"/>
    <w:rPr>
      <w:rFonts w:eastAsia="Calibri"/>
      <w:sz w:val="24"/>
      <w:szCs w:val="24"/>
    </w:rPr>
  </w:style>
  <w:style w:type="paragraph" w:styleId="NormalWeb">
    <w:name w:val="Normal (Web)"/>
    <w:aliases w:val="Обычный (веб)1,Обычный (веб) Знак,Обычный (веб) Знак1,Обычный (веб) Знак Знак, Char Char Char,Char Char Char,Normal (Web) Char Char Char Char Char,Normal (Web) Char Char Char Char"/>
    <w:basedOn w:val="Normal"/>
    <w:link w:val="NormalWebChar"/>
    <w:uiPriority w:val="99"/>
    <w:qFormat/>
    <w:rsid w:val="00CC4D87"/>
    <w:pPr>
      <w:spacing w:before="100" w:beforeAutospacing="1" w:after="100" w:afterAutospacing="1"/>
    </w:pPr>
    <w:rPr>
      <w:rFonts w:eastAsia="Times New Roman"/>
      <w:lang w:val="vi-VN" w:eastAsia="x-none"/>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Normal (Web) Char Char Char Char Char Char,Normal (Web) Char Char Char Char Char1"/>
    <w:link w:val="NormalWeb"/>
    <w:uiPriority w:val="99"/>
    <w:rsid w:val="00CC4D87"/>
    <w:rPr>
      <w:rFonts w:eastAsia="Times New Roman"/>
      <w:sz w:val="24"/>
      <w:szCs w:val="24"/>
      <w:lang w:val="vi-VN"/>
    </w:rPr>
  </w:style>
  <w:style w:type="paragraph" w:styleId="ListBullet">
    <w:name w:val="List Bullet"/>
    <w:basedOn w:val="Normal"/>
    <w:unhideWhenUsed/>
    <w:rsid w:val="00C2317F"/>
    <w:pPr>
      <w:numPr>
        <w:numId w:val="1"/>
      </w:numPr>
      <w:spacing w:before="120" w:after="120"/>
      <w:ind w:left="0" w:firstLine="0"/>
      <w:contextualSpacing/>
      <w:jc w:val="both"/>
    </w:pPr>
    <w:rPr>
      <w:rFonts w:eastAsia="Times New Roman"/>
      <w:sz w:val="28"/>
      <w:szCs w:val="22"/>
      <w:lang w:eastAsia="en-US"/>
    </w:rPr>
  </w:style>
  <w:style w:type="character" w:customStyle="1" w:styleId="FootnoteTextChar1">
    <w:name w:val="Footnote Text Char1"/>
    <w:aliases w:val="Footnote Text Char Char Char Char Char Char1,Footnote Text Char Char Char Char Char Char Ch Char1,Footnote Text Char Char Char Char Char Char Ch Char Char Char Char1,fn Char1,ft Char1,single space Char,FOOTNOTES Char,ADB Char1,З Cha"/>
    <w:uiPriority w:val="99"/>
    <w:rsid w:val="0005626D"/>
    <w:rPr>
      <w:rFonts w:ascii="Calibri" w:eastAsia="Calibri" w:hAnsi="Calibri"/>
      <w:lang w:val="en-SG" w:eastAsia="en-US" w:bidi="ar-SA"/>
    </w:rPr>
  </w:style>
  <w:style w:type="character" w:styleId="Emphasis">
    <w:name w:val="Emphasis"/>
    <w:uiPriority w:val="20"/>
    <w:qFormat/>
    <w:rsid w:val="00EC2BFA"/>
    <w:rPr>
      <w:i/>
      <w:iCs/>
    </w:rPr>
  </w:style>
  <w:style w:type="paragraph" w:styleId="BodyText">
    <w:name w:val="Body Text"/>
    <w:basedOn w:val="Normal"/>
    <w:link w:val="BodyTextChar"/>
    <w:unhideWhenUsed/>
    <w:rsid w:val="00537E61"/>
    <w:pPr>
      <w:spacing w:after="120"/>
    </w:pPr>
    <w:rPr>
      <w:lang w:val="x-none"/>
    </w:rPr>
  </w:style>
  <w:style w:type="character" w:customStyle="1" w:styleId="BodyTextChar">
    <w:name w:val="Body Text Char"/>
    <w:link w:val="BodyText"/>
    <w:rsid w:val="00537E61"/>
    <w:rPr>
      <w:sz w:val="24"/>
      <w:szCs w:val="24"/>
      <w:lang w:eastAsia="ko-KR"/>
    </w:rPr>
  </w:style>
  <w:style w:type="paragraph" w:customStyle="1" w:styleId="abc">
    <w:name w:val="abc"/>
    <w:basedOn w:val="Normal"/>
    <w:rsid w:val="00060CE4"/>
    <w:pPr>
      <w:jc w:val="both"/>
    </w:pPr>
    <w:rPr>
      <w:rFonts w:ascii=".VnTime" w:eastAsia="Times New Roman" w:hAnsi=".VnTime"/>
      <w:sz w:val="28"/>
      <w:szCs w:val="20"/>
      <w:lang w:eastAsia="en-US"/>
    </w:rPr>
  </w:style>
  <w:style w:type="character" w:styleId="CommentReference">
    <w:name w:val="annotation reference"/>
    <w:basedOn w:val="DefaultParagraphFont"/>
    <w:uiPriority w:val="99"/>
    <w:unhideWhenUsed/>
    <w:rsid w:val="001F1585"/>
    <w:rPr>
      <w:sz w:val="16"/>
      <w:szCs w:val="16"/>
    </w:rPr>
  </w:style>
  <w:style w:type="paragraph" w:styleId="CommentText">
    <w:name w:val="annotation text"/>
    <w:basedOn w:val="Normal"/>
    <w:link w:val="CommentTextChar"/>
    <w:uiPriority w:val="99"/>
    <w:semiHidden/>
    <w:unhideWhenUsed/>
    <w:rsid w:val="001F1585"/>
    <w:rPr>
      <w:sz w:val="20"/>
      <w:szCs w:val="20"/>
    </w:rPr>
  </w:style>
  <w:style w:type="character" w:customStyle="1" w:styleId="CommentTextChar">
    <w:name w:val="Comment Text Char"/>
    <w:basedOn w:val="DefaultParagraphFont"/>
    <w:link w:val="CommentText"/>
    <w:uiPriority w:val="99"/>
    <w:semiHidden/>
    <w:rsid w:val="001F1585"/>
    <w:rPr>
      <w:lang w:eastAsia="ko-KR"/>
    </w:rPr>
  </w:style>
  <w:style w:type="paragraph" w:styleId="CommentSubject">
    <w:name w:val="annotation subject"/>
    <w:basedOn w:val="CommentText"/>
    <w:next w:val="CommentText"/>
    <w:link w:val="CommentSubjectChar"/>
    <w:uiPriority w:val="99"/>
    <w:semiHidden/>
    <w:unhideWhenUsed/>
    <w:rsid w:val="001F1585"/>
    <w:rPr>
      <w:b/>
      <w:bCs/>
    </w:rPr>
  </w:style>
  <w:style w:type="character" w:customStyle="1" w:styleId="CommentSubjectChar">
    <w:name w:val="Comment Subject Char"/>
    <w:basedOn w:val="CommentTextChar"/>
    <w:link w:val="CommentSubject"/>
    <w:uiPriority w:val="99"/>
    <w:semiHidden/>
    <w:rsid w:val="001F1585"/>
    <w:rPr>
      <w:b/>
      <w:bCs/>
      <w:lang w:eastAsia="ko-KR"/>
    </w:rPr>
  </w:style>
  <w:style w:type="paragraph" w:styleId="EndnoteText">
    <w:name w:val="endnote text"/>
    <w:basedOn w:val="Normal"/>
    <w:link w:val="EndnoteTextChar"/>
    <w:unhideWhenUsed/>
    <w:rsid w:val="005A145D"/>
    <w:rPr>
      <w:sz w:val="20"/>
      <w:szCs w:val="20"/>
    </w:rPr>
  </w:style>
  <w:style w:type="character" w:customStyle="1" w:styleId="EndnoteTextChar">
    <w:name w:val="Endnote Text Char"/>
    <w:basedOn w:val="DefaultParagraphFont"/>
    <w:link w:val="EndnoteText"/>
    <w:rsid w:val="005A145D"/>
    <w:rPr>
      <w:lang w:eastAsia="ko-KR"/>
    </w:rPr>
  </w:style>
  <w:style w:type="character" w:styleId="EndnoteReference">
    <w:name w:val="endnote reference"/>
    <w:basedOn w:val="DefaultParagraphFont"/>
    <w:unhideWhenUsed/>
    <w:rsid w:val="005A145D"/>
    <w:rPr>
      <w:vertAlign w:val="superscript"/>
    </w:rPr>
  </w:style>
  <w:style w:type="character" w:customStyle="1" w:styleId="normalchar">
    <w:name w:val="normalchar"/>
    <w:basedOn w:val="DefaultParagraphFont"/>
    <w:rsid w:val="00844D73"/>
  </w:style>
  <w:style w:type="paragraph" w:customStyle="1" w:styleId="normalChar0">
    <w:name w:val="normal Char"/>
    <w:basedOn w:val="Normal"/>
    <w:link w:val="normalCharChar"/>
    <w:rsid w:val="005049AA"/>
    <w:pPr>
      <w:spacing w:before="100" w:beforeAutospacing="1" w:after="100" w:afterAutospacing="1"/>
    </w:pPr>
    <w:rPr>
      <w:rFonts w:eastAsia="Times New Roman"/>
      <w:color w:val="000000"/>
      <w:lang w:eastAsia="en-US"/>
    </w:rPr>
  </w:style>
  <w:style w:type="character" w:customStyle="1" w:styleId="normalCharChar">
    <w:name w:val="normal Char Char"/>
    <w:basedOn w:val="DefaultParagraphFont"/>
    <w:link w:val="normalChar0"/>
    <w:rsid w:val="005049AA"/>
    <w:rPr>
      <w:rFonts w:eastAsia="Times New Roman"/>
      <w:color w:val="000000"/>
      <w:sz w:val="24"/>
      <w:szCs w:val="24"/>
    </w:rPr>
  </w:style>
  <w:style w:type="paragraph" w:customStyle="1" w:styleId="Normal1">
    <w:name w:val="Normal1"/>
    <w:basedOn w:val="Normal"/>
    <w:uiPriority w:val="99"/>
    <w:rsid w:val="005049AA"/>
    <w:pPr>
      <w:spacing w:before="100" w:beforeAutospacing="1" w:after="100" w:afterAutospacing="1"/>
    </w:pPr>
    <w:rPr>
      <w:rFonts w:eastAsia="Times New Roman"/>
      <w:color w:val="000000"/>
      <w:lang w:eastAsia="en-US"/>
    </w:rPr>
  </w:style>
  <w:style w:type="character" w:customStyle="1" w:styleId="hps">
    <w:name w:val="hps"/>
    <w:basedOn w:val="DefaultParagraphFont"/>
    <w:rsid w:val="005049AA"/>
  </w:style>
  <w:style w:type="paragraph" w:customStyle="1" w:styleId="Default">
    <w:name w:val="Default"/>
    <w:rsid w:val="005049AA"/>
    <w:pPr>
      <w:autoSpaceDE w:val="0"/>
      <w:autoSpaceDN w:val="0"/>
      <w:adjustRightInd w:val="0"/>
      <w:spacing w:before="120"/>
    </w:pPr>
    <w:rPr>
      <w:rFonts w:ascii="Arial" w:eastAsiaTheme="minorHAnsi" w:hAnsi="Arial" w:cs="Arial"/>
      <w:color w:val="000000"/>
      <w:sz w:val="24"/>
      <w:szCs w:val="24"/>
    </w:rPr>
  </w:style>
  <w:style w:type="paragraph" w:customStyle="1" w:styleId="Normal2">
    <w:name w:val="Normal2"/>
    <w:basedOn w:val="Normal"/>
    <w:rsid w:val="005049AA"/>
    <w:pPr>
      <w:spacing w:before="100" w:beforeAutospacing="1" w:after="100" w:afterAutospacing="1"/>
    </w:pPr>
    <w:rPr>
      <w:rFonts w:eastAsia="Times New Roman"/>
      <w:color w:val="000000"/>
      <w:lang w:eastAsia="en-US"/>
    </w:rPr>
  </w:style>
  <w:style w:type="character" w:customStyle="1" w:styleId="content">
    <w:name w:val="content"/>
    <w:basedOn w:val="DefaultParagraphFont"/>
    <w:rsid w:val="005049AA"/>
  </w:style>
  <w:style w:type="character" w:customStyle="1" w:styleId="normalchar1">
    <w:name w:val="normal__char"/>
    <w:basedOn w:val="DefaultParagraphFont"/>
    <w:uiPriority w:val="99"/>
    <w:rsid w:val="005049AA"/>
  </w:style>
  <w:style w:type="paragraph" w:styleId="Caption">
    <w:name w:val="caption"/>
    <w:basedOn w:val="Normal"/>
    <w:next w:val="Normal"/>
    <w:link w:val="CaptionChar"/>
    <w:qFormat/>
    <w:rsid w:val="005049AA"/>
    <w:pPr>
      <w:spacing w:before="240" w:after="120"/>
      <w:jc w:val="center"/>
    </w:pPr>
    <w:rPr>
      <w:rFonts w:eastAsia="Times New Roman"/>
      <w:b/>
      <w:bCs/>
      <w:sz w:val="28"/>
      <w:szCs w:val="20"/>
      <w:lang w:eastAsia="en-US"/>
    </w:rPr>
  </w:style>
  <w:style w:type="character" w:customStyle="1" w:styleId="CaptionChar">
    <w:name w:val="Caption Char"/>
    <w:basedOn w:val="DefaultParagraphFont"/>
    <w:link w:val="Caption"/>
    <w:rsid w:val="005049AA"/>
    <w:rPr>
      <w:rFonts w:eastAsia="Times New Roman"/>
      <w:b/>
      <w:bCs/>
      <w:sz w:val="28"/>
    </w:rPr>
  </w:style>
  <w:style w:type="paragraph" w:customStyle="1" w:styleId="Source">
    <w:name w:val="Source"/>
    <w:basedOn w:val="Normal"/>
    <w:qFormat/>
    <w:rsid w:val="005049AA"/>
    <w:pPr>
      <w:spacing w:after="120"/>
      <w:ind w:firstLine="720"/>
      <w:jc w:val="both"/>
    </w:pPr>
    <w:rPr>
      <w:rFonts w:eastAsia="Times New Roman"/>
      <w:lang w:val="vi-VN" w:eastAsia="en-US"/>
    </w:rPr>
  </w:style>
  <w:style w:type="paragraph" w:styleId="TableofFigures">
    <w:name w:val="table of figures"/>
    <w:basedOn w:val="Normal"/>
    <w:next w:val="Normal"/>
    <w:uiPriority w:val="99"/>
    <w:unhideWhenUsed/>
    <w:rsid w:val="005049AA"/>
    <w:pPr>
      <w:spacing w:before="120" w:line="276" w:lineRule="auto"/>
      <w:ind w:firstLine="567"/>
    </w:pPr>
    <w:rPr>
      <w:rFonts w:eastAsiaTheme="minorHAnsi" w:cstheme="minorBidi"/>
      <w:sz w:val="28"/>
      <w:szCs w:val="22"/>
      <w:lang w:eastAsia="en-US"/>
    </w:rPr>
  </w:style>
  <w:style w:type="character" w:customStyle="1" w:styleId="Heading4Char">
    <w:name w:val="Heading 4 Char"/>
    <w:basedOn w:val="DefaultParagraphFont"/>
    <w:link w:val="Heading4"/>
    <w:rsid w:val="00FB5883"/>
    <w:rPr>
      <w:rFonts w:eastAsia="Times New Roman"/>
      <w:b/>
      <w:sz w:val="28"/>
      <w:szCs w:val="28"/>
      <w:lang w:val="pl-PL"/>
    </w:rPr>
  </w:style>
  <w:style w:type="character" w:customStyle="1" w:styleId="Heading5Char">
    <w:name w:val="Heading 5 Char"/>
    <w:basedOn w:val="DefaultParagraphFont"/>
    <w:link w:val="Heading5"/>
    <w:rsid w:val="00FB5883"/>
    <w:rPr>
      <w:b/>
      <w:sz w:val="28"/>
    </w:rPr>
  </w:style>
  <w:style w:type="character" w:customStyle="1" w:styleId="Heading6Char">
    <w:name w:val="Heading 6 Char"/>
    <w:basedOn w:val="DefaultParagraphFont"/>
    <w:link w:val="Heading6"/>
    <w:rsid w:val="00FB5883"/>
    <w:rPr>
      <w:b/>
      <w:sz w:val="28"/>
      <w:szCs w:val="24"/>
    </w:rPr>
  </w:style>
  <w:style w:type="character" w:customStyle="1" w:styleId="Heading7Char">
    <w:name w:val="Heading 7 Char"/>
    <w:basedOn w:val="DefaultParagraphFont"/>
    <w:link w:val="Heading7"/>
    <w:rsid w:val="00FB5883"/>
    <w:rPr>
      <w:rFonts w:ascii=".VnTime" w:hAnsi=".VnTime"/>
      <w:b/>
    </w:rPr>
  </w:style>
  <w:style w:type="character" w:customStyle="1" w:styleId="Heading8Char">
    <w:name w:val="Heading 8 Char"/>
    <w:basedOn w:val="DefaultParagraphFont"/>
    <w:link w:val="Heading8"/>
    <w:rsid w:val="00FB5883"/>
    <w:rPr>
      <w:rFonts w:ascii=".VnTime" w:eastAsia="Times New Roman" w:hAnsi=".VnTime"/>
      <w:b/>
      <w:i/>
      <w:sz w:val="28"/>
    </w:rPr>
  </w:style>
  <w:style w:type="character" w:customStyle="1" w:styleId="Heading9Char">
    <w:name w:val="Heading 9 Char"/>
    <w:basedOn w:val="DefaultParagraphFont"/>
    <w:link w:val="Heading9"/>
    <w:rsid w:val="00FB5883"/>
    <w:rPr>
      <w:rFonts w:ascii="Arial" w:hAnsi="Arial" w:cs="Arial"/>
      <w:sz w:val="22"/>
      <w:szCs w:val="22"/>
    </w:rPr>
  </w:style>
  <w:style w:type="character" w:styleId="Strong">
    <w:name w:val="Strong"/>
    <w:basedOn w:val="DefaultParagraphFont"/>
    <w:uiPriority w:val="22"/>
    <w:qFormat/>
    <w:rsid w:val="00FB5883"/>
    <w:rPr>
      <w:b/>
      <w:bCs/>
    </w:rPr>
  </w:style>
  <w:style w:type="character" w:customStyle="1" w:styleId="apple-converted-space">
    <w:name w:val="apple-converted-space"/>
    <w:basedOn w:val="DefaultParagraphFont"/>
    <w:rsid w:val="00FB5883"/>
  </w:style>
  <w:style w:type="paragraph" w:styleId="Title">
    <w:name w:val="Title"/>
    <w:basedOn w:val="Normal"/>
    <w:next w:val="Footer"/>
    <w:link w:val="TitleChar"/>
    <w:qFormat/>
    <w:rsid w:val="00FB5883"/>
    <w:pPr>
      <w:tabs>
        <w:tab w:val="left" w:pos="2160"/>
      </w:tabs>
      <w:spacing w:after="960" w:line="264" w:lineRule="auto"/>
      <w:jc w:val="center"/>
      <w:outlineLvl w:val="0"/>
    </w:pPr>
    <w:rPr>
      <w:rFonts w:eastAsia="Times New Roman" w:cs="Arial"/>
      <w:b/>
      <w:bCs/>
      <w:kern w:val="28"/>
      <w:sz w:val="28"/>
      <w:szCs w:val="32"/>
      <w:lang w:eastAsia="en-US"/>
    </w:rPr>
  </w:style>
  <w:style w:type="character" w:customStyle="1" w:styleId="TitleChar">
    <w:name w:val="Title Char"/>
    <w:basedOn w:val="DefaultParagraphFont"/>
    <w:link w:val="Title"/>
    <w:rsid w:val="00FB5883"/>
    <w:rPr>
      <w:rFonts w:eastAsia="Times New Roman" w:cs="Arial"/>
      <w:b/>
      <w:bCs/>
      <w:kern w:val="28"/>
      <w:sz w:val="28"/>
      <w:szCs w:val="32"/>
    </w:rPr>
  </w:style>
  <w:style w:type="table" w:styleId="TableSimple1">
    <w:name w:val="Table Simple 1"/>
    <w:basedOn w:val="TableNormal"/>
    <w:rsid w:val="00FB5883"/>
    <w:pPr>
      <w:spacing w:line="480" w:lineRule="auto"/>
      <w:jc w:val="both"/>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Figure">
    <w:name w:val="Figure"/>
    <w:basedOn w:val="Normal"/>
    <w:rsid w:val="00FB5883"/>
    <w:pPr>
      <w:numPr>
        <w:numId w:val="3"/>
      </w:numPr>
      <w:spacing w:before="360" w:after="240" w:line="264" w:lineRule="auto"/>
      <w:jc w:val="center"/>
    </w:pPr>
    <w:rPr>
      <w:rFonts w:eastAsia="Times New Roman"/>
      <w:sz w:val="28"/>
      <w:lang w:eastAsia="en-US"/>
    </w:rPr>
  </w:style>
  <w:style w:type="paragraph" w:customStyle="1" w:styleId="Equation">
    <w:name w:val="Equation"/>
    <w:basedOn w:val="Normal"/>
    <w:rsid w:val="00FB5883"/>
    <w:pPr>
      <w:numPr>
        <w:numId w:val="4"/>
      </w:numPr>
      <w:spacing w:before="240" w:after="240" w:line="480" w:lineRule="auto"/>
      <w:jc w:val="both"/>
    </w:pPr>
    <w:rPr>
      <w:rFonts w:eastAsia="Times New Roman"/>
      <w:sz w:val="28"/>
      <w:lang w:eastAsia="en-US"/>
    </w:rPr>
  </w:style>
  <w:style w:type="numbering" w:customStyle="1" w:styleId="StyleBulleted">
    <w:name w:val="Style Bulleted"/>
    <w:basedOn w:val="NoList"/>
    <w:rsid w:val="00FB5883"/>
    <w:pPr>
      <w:numPr>
        <w:numId w:val="5"/>
      </w:numPr>
    </w:pPr>
  </w:style>
  <w:style w:type="character" w:customStyle="1" w:styleId="apple-style-span">
    <w:name w:val="apple-style-span"/>
    <w:basedOn w:val="DefaultParagraphFont"/>
    <w:rsid w:val="00FB5883"/>
  </w:style>
  <w:style w:type="numbering" w:customStyle="1" w:styleId="StyleBulletedSymbolsymbolLeft05Hanging0251">
    <w:name w:val="Style Bulleted Symbol (symbol) Left:  0.5&quot; Hanging:  0.25&quot;1"/>
    <w:basedOn w:val="NoList"/>
    <w:rsid w:val="00FB5883"/>
    <w:pPr>
      <w:numPr>
        <w:numId w:val="6"/>
      </w:numPr>
    </w:pPr>
  </w:style>
  <w:style w:type="paragraph" w:styleId="DocumentMap">
    <w:name w:val="Document Map"/>
    <w:basedOn w:val="Normal"/>
    <w:link w:val="DocumentMapChar"/>
    <w:semiHidden/>
    <w:rsid w:val="00FB5883"/>
    <w:pPr>
      <w:shd w:val="clear" w:color="auto" w:fill="000080"/>
      <w:spacing w:after="120" w:line="264" w:lineRule="auto"/>
      <w:ind w:firstLine="567"/>
      <w:jc w:val="both"/>
    </w:pPr>
    <w:rPr>
      <w:rFonts w:ascii="Tahoma" w:eastAsia="Times New Roman" w:hAnsi="Tahoma" w:cs="Tahoma"/>
      <w:sz w:val="20"/>
      <w:szCs w:val="20"/>
      <w:lang w:eastAsia="en-US"/>
    </w:rPr>
  </w:style>
  <w:style w:type="character" w:customStyle="1" w:styleId="DocumentMapChar">
    <w:name w:val="Document Map Char"/>
    <w:basedOn w:val="DefaultParagraphFont"/>
    <w:link w:val="DocumentMap"/>
    <w:semiHidden/>
    <w:rsid w:val="00FB5883"/>
    <w:rPr>
      <w:rFonts w:ascii="Tahoma" w:eastAsia="Times New Roman" w:hAnsi="Tahoma" w:cs="Tahoma"/>
      <w:shd w:val="clear" w:color="auto" w:fill="000080"/>
    </w:rPr>
  </w:style>
  <w:style w:type="paragraph" w:customStyle="1" w:styleId="StyleHeading3TimesNewRoman14ptAfter12pt">
    <w:name w:val="Style Heading 3 + Times New Roman 14 pt After:  12 pt"/>
    <w:basedOn w:val="Heading3"/>
    <w:rsid w:val="00FB5883"/>
    <w:pPr>
      <w:keepNext w:val="0"/>
      <w:tabs>
        <w:tab w:val="left" w:pos="360"/>
        <w:tab w:val="num" w:pos="1080"/>
      </w:tabs>
      <w:spacing w:before="0" w:after="240" w:line="264" w:lineRule="auto"/>
      <w:ind w:left="1080" w:hanging="360"/>
      <w:jc w:val="both"/>
    </w:pPr>
    <w:rPr>
      <w:rFonts w:cs="Times New Roman"/>
      <w:b w:val="0"/>
      <w:sz w:val="28"/>
      <w:szCs w:val="20"/>
    </w:rPr>
  </w:style>
  <w:style w:type="table" w:styleId="TableList3">
    <w:name w:val="Table List 3"/>
    <w:basedOn w:val="TableNormal"/>
    <w:rsid w:val="00FB5883"/>
    <w:pPr>
      <w:jc w:val="both"/>
    </w:pPr>
    <w:rPr>
      <w:rFonts w:eastAsia="Times New Roman"/>
      <w:sz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
    <w:name w:val="Char"/>
    <w:basedOn w:val="Normal"/>
    <w:rsid w:val="00FB5883"/>
    <w:pPr>
      <w:pageBreakBefore/>
      <w:spacing w:before="100" w:beforeAutospacing="1" w:after="100" w:afterAutospacing="1" w:line="264" w:lineRule="auto"/>
    </w:pPr>
    <w:rPr>
      <w:rFonts w:ascii="Tahoma" w:eastAsia="Times New Roman" w:hAnsi="Tahoma" w:cs="Tahoma"/>
      <w:sz w:val="20"/>
      <w:szCs w:val="20"/>
      <w:lang w:eastAsia="en-US"/>
    </w:rPr>
  </w:style>
  <w:style w:type="numbering" w:customStyle="1" w:styleId="StyleBulletedSymbolsymbolLeft025Hanging025">
    <w:name w:val="Style Bulleted Symbol (symbol) Left:  0.25&quot; Hanging:  0.25&quot;"/>
    <w:basedOn w:val="NoList"/>
    <w:rsid w:val="00FB5883"/>
    <w:pPr>
      <w:numPr>
        <w:numId w:val="7"/>
      </w:numPr>
    </w:pPr>
  </w:style>
  <w:style w:type="paragraph" w:styleId="TOC1">
    <w:name w:val="toc 1"/>
    <w:basedOn w:val="Normal"/>
    <w:next w:val="Normal"/>
    <w:rsid w:val="00FB5883"/>
    <w:pPr>
      <w:spacing w:line="264" w:lineRule="auto"/>
    </w:pPr>
    <w:rPr>
      <w:rFonts w:eastAsia="Times New Roman"/>
      <w:bCs/>
      <w:caps/>
      <w:sz w:val="20"/>
      <w:szCs w:val="20"/>
      <w:lang w:eastAsia="en-US"/>
    </w:rPr>
  </w:style>
  <w:style w:type="paragraph" w:styleId="TOC2">
    <w:name w:val="toc 2"/>
    <w:basedOn w:val="Normal"/>
    <w:next w:val="Normal"/>
    <w:autoRedefine/>
    <w:rsid w:val="00FB5883"/>
    <w:pPr>
      <w:spacing w:line="264" w:lineRule="auto"/>
      <w:ind w:left="280" w:firstLine="567"/>
    </w:pPr>
    <w:rPr>
      <w:rFonts w:eastAsia="Times New Roman"/>
      <w:smallCaps/>
      <w:sz w:val="20"/>
      <w:szCs w:val="20"/>
      <w:lang w:eastAsia="en-US"/>
    </w:rPr>
  </w:style>
  <w:style w:type="paragraph" w:styleId="TOC3">
    <w:name w:val="toc 3"/>
    <w:basedOn w:val="Normal"/>
    <w:next w:val="Normal"/>
    <w:autoRedefine/>
    <w:rsid w:val="00FB5883"/>
    <w:pPr>
      <w:spacing w:line="264" w:lineRule="auto"/>
      <w:ind w:left="560" w:firstLine="567"/>
    </w:pPr>
    <w:rPr>
      <w:rFonts w:eastAsia="Times New Roman"/>
      <w:i/>
      <w:iCs/>
      <w:sz w:val="20"/>
      <w:szCs w:val="20"/>
      <w:lang w:eastAsia="en-US"/>
    </w:rPr>
  </w:style>
  <w:style w:type="paragraph" w:styleId="TOC4">
    <w:name w:val="toc 4"/>
    <w:basedOn w:val="Normal"/>
    <w:next w:val="Normal"/>
    <w:autoRedefine/>
    <w:semiHidden/>
    <w:rsid w:val="00FB5883"/>
    <w:pPr>
      <w:spacing w:line="264" w:lineRule="auto"/>
      <w:ind w:left="840" w:firstLine="567"/>
    </w:pPr>
    <w:rPr>
      <w:rFonts w:eastAsia="Times New Roman"/>
      <w:sz w:val="18"/>
      <w:szCs w:val="18"/>
      <w:lang w:eastAsia="en-US"/>
    </w:rPr>
  </w:style>
  <w:style w:type="paragraph" w:styleId="TOC5">
    <w:name w:val="toc 5"/>
    <w:basedOn w:val="Normal"/>
    <w:next w:val="Normal"/>
    <w:autoRedefine/>
    <w:semiHidden/>
    <w:rsid w:val="00FB5883"/>
    <w:pPr>
      <w:spacing w:line="264" w:lineRule="auto"/>
      <w:ind w:left="1120" w:firstLine="567"/>
    </w:pPr>
    <w:rPr>
      <w:rFonts w:eastAsia="Times New Roman"/>
      <w:sz w:val="18"/>
      <w:szCs w:val="18"/>
      <w:lang w:eastAsia="en-US"/>
    </w:rPr>
  </w:style>
  <w:style w:type="paragraph" w:styleId="TOC6">
    <w:name w:val="toc 6"/>
    <w:basedOn w:val="Normal"/>
    <w:next w:val="Normal"/>
    <w:autoRedefine/>
    <w:semiHidden/>
    <w:rsid w:val="00FB5883"/>
    <w:pPr>
      <w:spacing w:line="264" w:lineRule="auto"/>
      <w:ind w:left="1400" w:firstLine="567"/>
    </w:pPr>
    <w:rPr>
      <w:rFonts w:eastAsia="Times New Roman"/>
      <w:sz w:val="18"/>
      <w:szCs w:val="18"/>
      <w:lang w:eastAsia="en-US"/>
    </w:rPr>
  </w:style>
  <w:style w:type="paragraph" w:styleId="TOC7">
    <w:name w:val="toc 7"/>
    <w:basedOn w:val="Normal"/>
    <w:next w:val="Normal"/>
    <w:autoRedefine/>
    <w:semiHidden/>
    <w:rsid w:val="00FB5883"/>
    <w:pPr>
      <w:spacing w:line="264" w:lineRule="auto"/>
      <w:ind w:left="1680" w:firstLine="567"/>
    </w:pPr>
    <w:rPr>
      <w:rFonts w:eastAsia="Times New Roman"/>
      <w:sz w:val="18"/>
      <w:szCs w:val="18"/>
      <w:lang w:eastAsia="en-US"/>
    </w:rPr>
  </w:style>
  <w:style w:type="paragraph" w:styleId="TOC8">
    <w:name w:val="toc 8"/>
    <w:basedOn w:val="Normal"/>
    <w:next w:val="Normal"/>
    <w:autoRedefine/>
    <w:semiHidden/>
    <w:rsid w:val="00FB5883"/>
    <w:pPr>
      <w:spacing w:line="264" w:lineRule="auto"/>
      <w:ind w:left="1960" w:firstLine="567"/>
    </w:pPr>
    <w:rPr>
      <w:rFonts w:eastAsia="Times New Roman"/>
      <w:sz w:val="18"/>
      <w:szCs w:val="18"/>
      <w:lang w:eastAsia="en-US"/>
    </w:rPr>
  </w:style>
  <w:style w:type="paragraph" w:styleId="TOC9">
    <w:name w:val="toc 9"/>
    <w:basedOn w:val="Normal"/>
    <w:next w:val="Normal"/>
    <w:autoRedefine/>
    <w:semiHidden/>
    <w:rsid w:val="00FB5883"/>
    <w:pPr>
      <w:spacing w:line="264" w:lineRule="auto"/>
      <w:ind w:left="2240" w:firstLine="567"/>
    </w:pPr>
    <w:rPr>
      <w:rFonts w:eastAsia="Times New Roman"/>
      <w:sz w:val="18"/>
      <w:szCs w:val="18"/>
      <w:lang w:eastAsia="en-US"/>
    </w:rPr>
  </w:style>
  <w:style w:type="numbering" w:customStyle="1" w:styleId="StyleOutlinenumberedCourierNewLeft075Hanging025">
    <w:name w:val="Style Outline numbered Courier New Left:  0.75&quot; Hanging:  0.25&quot;"/>
    <w:basedOn w:val="NoList"/>
    <w:rsid w:val="00FB5883"/>
    <w:pPr>
      <w:numPr>
        <w:numId w:val="8"/>
      </w:numPr>
    </w:pPr>
  </w:style>
  <w:style w:type="paragraph" w:customStyle="1" w:styleId="Style12ptBoldBlackAfter0pt">
    <w:name w:val="Style 12 pt Bold Black After:  0 pt"/>
    <w:basedOn w:val="Normal"/>
    <w:uiPriority w:val="99"/>
    <w:rsid w:val="00FB5883"/>
    <w:pPr>
      <w:spacing w:line="264" w:lineRule="auto"/>
      <w:jc w:val="both"/>
    </w:pPr>
    <w:rPr>
      <w:rFonts w:eastAsia="Times New Roman"/>
      <w:b/>
      <w:bCs/>
      <w:color w:val="000000"/>
      <w:sz w:val="28"/>
      <w:lang w:eastAsia="en-US"/>
    </w:rPr>
  </w:style>
  <w:style w:type="paragraph" w:styleId="Revision">
    <w:name w:val="Revision"/>
    <w:hidden/>
    <w:uiPriority w:val="99"/>
    <w:semiHidden/>
    <w:rsid w:val="00FB5883"/>
    <w:rPr>
      <w:rFonts w:eastAsia="Times New Roman"/>
      <w:sz w:val="28"/>
      <w:szCs w:val="28"/>
    </w:rPr>
  </w:style>
  <w:style w:type="paragraph" w:customStyle="1" w:styleId="CharCharCharChar8">
    <w:name w:val="Char Char Char Char8"/>
    <w:basedOn w:val="Normal"/>
    <w:uiPriority w:val="99"/>
    <w:rsid w:val="00FB5883"/>
    <w:pPr>
      <w:spacing w:after="160" w:line="240" w:lineRule="exact"/>
    </w:pPr>
    <w:rPr>
      <w:rFonts w:ascii="Verdana" w:eastAsia="Times New Roman" w:hAnsi="Verdana" w:cs="Verdana"/>
      <w:sz w:val="20"/>
      <w:szCs w:val="20"/>
      <w:lang w:eastAsia="en-US"/>
    </w:rPr>
  </w:style>
  <w:style w:type="paragraph" w:customStyle="1" w:styleId="Char8">
    <w:name w:val="Char8"/>
    <w:basedOn w:val="Normal"/>
    <w:uiPriority w:val="99"/>
    <w:rsid w:val="00FB5883"/>
    <w:pPr>
      <w:pageBreakBefore/>
      <w:spacing w:before="100" w:beforeAutospacing="1" w:after="100" w:afterAutospacing="1" w:line="264" w:lineRule="auto"/>
    </w:pPr>
    <w:rPr>
      <w:rFonts w:ascii="Tahoma" w:eastAsia="Times New Roman" w:hAnsi="Tahoma" w:cs="Tahoma"/>
      <w:sz w:val="20"/>
      <w:szCs w:val="20"/>
      <w:lang w:eastAsia="en-US"/>
    </w:rPr>
  </w:style>
  <w:style w:type="paragraph" w:customStyle="1" w:styleId="CharCharCharChar7">
    <w:name w:val="Char Char Char Char7"/>
    <w:basedOn w:val="Normal"/>
    <w:uiPriority w:val="99"/>
    <w:rsid w:val="00FB5883"/>
    <w:pPr>
      <w:spacing w:after="160" w:line="240" w:lineRule="exact"/>
    </w:pPr>
    <w:rPr>
      <w:rFonts w:ascii="Verdana" w:eastAsia="Times New Roman" w:hAnsi="Verdana" w:cs="Verdana"/>
      <w:sz w:val="20"/>
      <w:szCs w:val="20"/>
      <w:lang w:eastAsia="en-US"/>
    </w:rPr>
  </w:style>
  <w:style w:type="paragraph" w:customStyle="1" w:styleId="Char7">
    <w:name w:val="Char7"/>
    <w:basedOn w:val="Normal"/>
    <w:uiPriority w:val="99"/>
    <w:rsid w:val="00FB5883"/>
    <w:pPr>
      <w:pageBreakBefore/>
      <w:spacing w:before="100" w:beforeAutospacing="1" w:after="100" w:afterAutospacing="1" w:line="264" w:lineRule="auto"/>
    </w:pPr>
    <w:rPr>
      <w:rFonts w:ascii="Tahoma" w:eastAsia="Times New Roman" w:hAnsi="Tahoma" w:cs="Tahoma"/>
      <w:sz w:val="20"/>
      <w:szCs w:val="20"/>
      <w:lang w:eastAsia="en-US"/>
    </w:rPr>
  </w:style>
  <w:style w:type="paragraph" w:customStyle="1" w:styleId="CharCharCharChar6">
    <w:name w:val="Char Char Char Char6"/>
    <w:basedOn w:val="Normal"/>
    <w:uiPriority w:val="99"/>
    <w:rsid w:val="00FB5883"/>
    <w:pPr>
      <w:spacing w:after="160" w:line="240" w:lineRule="exact"/>
    </w:pPr>
    <w:rPr>
      <w:rFonts w:ascii="Verdana" w:eastAsia="Times New Roman" w:hAnsi="Verdana" w:cs="Verdana"/>
      <w:sz w:val="20"/>
      <w:szCs w:val="20"/>
      <w:lang w:eastAsia="en-US"/>
    </w:rPr>
  </w:style>
  <w:style w:type="paragraph" w:customStyle="1" w:styleId="Char6">
    <w:name w:val="Char6"/>
    <w:basedOn w:val="Normal"/>
    <w:uiPriority w:val="99"/>
    <w:rsid w:val="00FB5883"/>
    <w:pPr>
      <w:pageBreakBefore/>
      <w:spacing w:before="100" w:beforeAutospacing="1" w:after="100" w:afterAutospacing="1" w:line="264" w:lineRule="auto"/>
    </w:pPr>
    <w:rPr>
      <w:rFonts w:ascii="Tahoma" w:eastAsia="Times New Roman" w:hAnsi="Tahoma" w:cs="Tahoma"/>
      <w:sz w:val="20"/>
      <w:szCs w:val="20"/>
      <w:lang w:eastAsia="en-US"/>
    </w:rPr>
  </w:style>
  <w:style w:type="paragraph" w:customStyle="1" w:styleId="CharCharCharChar5">
    <w:name w:val="Char Char Char Char5"/>
    <w:basedOn w:val="Normal"/>
    <w:uiPriority w:val="99"/>
    <w:rsid w:val="00FB5883"/>
    <w:pPr>
      <w:spacing w:after="160" w:line="240" w:lineRule="exact"/>
    </w:pPr>
    <w:rPr>
      <w:rFonts w:ascii="Verdana" w:eastAsia="Times New Roman" w:hAnsi="Verdana" w:cs="Verdana"/>
      <w:sz w:val="20"/>
      <w:szCs w:val="20"/>
      <w:lang w:eastAsia="en-US"/>
    </w:rPr>
  </w:style>
  <w:style w:type="paragraph" w:customStyle="1" w:styleId="Char5">
    <w:name w:val="Char5"/>
    <w:basedOn w:val="Normal"/>
    <w:uiPriority w:val="99"/>
    <w:rsid w:val="00FB5883"/>
    <w:pPr>
      <w:pageBreakBefore/>
      <w:spacing w:before="100" w:beforeAutospacing="1" w:after="100" w:afterAutospacing="1" w:line="264" w:lineRule="auto"/>
    </w:pPr>
    <w:rPr>
      <w:rFonts w:ascii="Tahoma" w:eastAsia="Times New Roman" w:hAnsi="Tahoma" w:cs="Tahoma"/>
      <w:sz w:val="20"/>
      <w:szCs w:val="20"/>
      <w:lang w:eastAsia="en-US"/>
    </w:rPr>
  </w:style>
  <w:style w:type="paragraph" w:customStyle="1" w:styleId="CharCharCharChar4">
    <w:name w:val="Char Char Char Char4"/>
    <w:basedOn w:val="Normal"/>
    <w:uiPriority w:val="99"/>
    <w:rsid w:val="00FB5883"/>
    <w:pPr>
      <w:spacing w:after="160" w:line="240" w:lineRule="exact"/>
    </w:pPr>
    <w:rPr>
      <w:rFonts w:ascii="Verdana" w:eastAsia="Times New Roman" w:hAnsi="Verdana" w:cs="Verdana"/>
      <w:sz w:val="20"/>
      <w:szCs w:val="20"/>
      <w:lang w:eastAsia="en-US"/>
    </w:rPr>
  </w:style>
  <w:style w:type="paragraph" w:customStyle="1" w:styleId="Char4">
    <w:name w:val="Char4"/>
    <w:basedOn w:val="Normal"/>
    <w:uiPriority w:val="99"/>
    <w:rsid w:val="00FB5883"/>
    <w:pPr>
      <w:pageBreakBefore/>
      <w:spacing w:before="100" w:beforeAutospacing="1" w:after="100" w:afterAutospacing="1" w:line="264" w:lineRule="auto"/>
    </w:pPr>
    <w:rPr>
      <w:rFonts w:ascii="Tahoma" w:eastAsia="Times New Roman" w:hAnsi="Tahoma" w:cs="Tahoma"/>
      <w:sz w:val="20"/>
      <w:szCs w:val="20"/>
      <w:lang w:eastAsia="en-US"/>
    </w:rPr>
  </w:style>
  <w:style w:type="paragraph" w:customStyle="1" w:styleId="CharCharCharChar3">
    <w:name w:val="Char Char Char Char3"/>
    <w:basedOn w:val="Normal"/>
    <w:uiPriority w:val="99"/>
    <w:rsid w:val="00FB5883"/>
    <w:pPr>
      <w:spacing w:after="160" w:line="240" w:lineRule="exact"/>
    </w:pPr>
    <w:rPr>
      <w:rFonts w:ascii="Verdana" w:eastAsia="Times New Roman" w:hAnsi="Verdana" w:cs="Verdana"/>
      <w:sz w:val="20"/>
      <w:szCs w:val="20"/>
      <w:lang w:eastAsia="en-US"/>
    </w:rPr>
  </w:style>
  <w:style w:type="paragraph" w:customStyle="1" w:styleId="Char3">
    <w:name w:val="Char3"/>
    <w:basedOn w:val="Normal"/>
    <w:uiPriority w:val="99"/>
    <w:rsid w:val="00FB5883"/>
    <w:pPr>
      <w:pageBreakBefore/>
      <w:spacing w:before="100" w:beforeAutospacing="1" w:after="100" w:afterAutospacing="1" w:line="264" w:lineRule="auto"/>
    </w:pPr>
    <w:rPr>
      <w:rFonts w:ascii="Tahoma" w:eastAsia="Times New Roman" w:hAnsi="Tahoma" w:cs="Tahoma"/>
      <w:sz w:val="20"/>
      <w:szCs w:val="20"/>
      <w:lang w:eastAsia="en-US"/>
    </w:rPr>
  </w:style>
  <w:style w:type="paragraph" w:customStyle="1" w:styleId="CharCharCharChar2">
    <w:name w:val="Char Char Char Char2"/>
    <w:basedOn w:val="Normal"/>
    <w:uiPriority w:val="99"/>
    <w:rsid w:val="00FB5883"/>
    <w:pPr>
      <w:spacing w:after="160" w:line="240" w:lineRule="exact"/>
    </w:pPr>
    <w:rPr>
      <w:rFonts w:ascii="Verdana" w:eastAsia="Times New Roman" w:hAnsi="Verdana" w:cs="Verdana"/>
      <w:sz w:val="20"/>
      <w:szCs w:val="20"/>
      <w:lang w:eastAsia="en-US"/>
    </w:rPr>
  </w:style>
  <w:style w:type="paragraph" w:customStyle="1" w:styleId="Char2">
    <w:name w:val="Char2"/>
    <w:basedOn w:val="Normal"/>
    <w:uiPriority w:val="99"/>
    <w:rsid w:val="00FB5883"/>
    <w:pPr>
      <w:pageBreakBefore/>
      <w:spacing w:before="100" w:beforeAutospacing="1" w:after="100" w:afterAutospacing="1" w:line="264" w:lineRule="auto"/>
    </w:pPr>
    <w:rPr>
      <w:rFonts w:ascii="Tahoma" w:eastAsia="Times New Roman" w:hAnsi="Tahoma" w:cs="Tahoma"/>
      <w:sz w:val="20"/>
      <w:szCs w:val="20"/>
      <w:lang w:eastAsia="en-US"/>
    </w:rPr>
  </w:style>
  <w:style w:type="paragraph" w:customStyle="1" w:styleId="CharCharCharChar1">
    <w:name w:val="Char Char Char Char1"/>
    <w:basedOn w:val="Normal"/>
    <w:uiPriority w:val="99"/>
    <w:rsid w:val="00FB5883"/>
    <w:pPr>
      <w:spacing w:after="160" w:line="240" w:lineRule="exact"/>
    </w:pPr>
    <w:rPr>
      <w:rFonts w:ascii="Verdana" w:eastAsia="Times New Roman" w:hAnsi="Verdana" w:cs="Verdana"/>
      <w:sz w:val="20"/>
      <w:szCs w:val="20"/>
      <w:lang w:eastAsia="en-US"/>
    </w:rPr>
  </w:style>
  <w:style w:type="paragraph" w:customStyle="1" w:styleId="Char1">
    <w:name w:val="Char1"/>
    <w:basedOn w:val="Normal"/>
    <w:uiPriority w:val="99"/>
    <w:rsid w:val="00FB5883"/>
    <w:pPr>
      <w:pageBreakBefore/>
      <w:spacing w:before="100" w:beforeAutospacing="1" w:after="100" w:afterAutospacing="1" w:line="264" w:lineRule="auto"/>
    </w:pPr>
    <w:rPr>
      <w:rFonts w:ascii="Tahoma" w:eastAsia="Times New Roman" w:hAnsi="Tahoma" w:cs="Tahoma"/>
      <w:sz w:val="20"/>
      <w:szCs w:val="20"/>
      <w:lang w:eastAsia="en-US"/>
    </w:rPr>
  </w:style>
  <w:style w:type="character" w:customStyle="1" w:styleId="agri-box-news3-main-desc1">
    <w:name w:val="agri-box-news3-main-desc1"/>
    <w:basedOn w:val="DefaultParagraphFont"/>
    <w:uiPriority w:val="99"/>
    <w:rsid w:val="00FB5883"/>
    <w:rPr>
      <w:rFonts w:ascii="Times New Roman" w:hAnsi="Times New Roman" w:cs="Times New Roman"/>
      <w:b/>
      <w:bCs/>
      <w:color w:val="5E5D5D"/>
      <w:sz w:val="21"/>
      <w:szCs w:val="21"/>
    </w:rPr>
  </w:style>
  <w:style w:type="paragraph" w:customStyle="1" w:styleId="titlenewdetail">
    <w:name w:val="titlenewdetail"/>
    <w:basedOn w:val="Normal"/>
    <w:uiPriority w:val="99"/>
    <w:rsid w:val="00FB5883"/>
    <w:pPr>
      <w:spacing w:line="268" w:lineRule="atLeast"/>
    </w:pPr>
    <w:rPr>
      <w:rFonts w:eastAsia="Times New Roman"/>
      <w:b/>
      <w:bCs/>
      <w:sz w:val="27"/>
      <w:szCs w:val="27"/>
      <w:lang w:eastAsia="en-US"/>
    </w:rPr>
  </w:style>
  <w:style w:type="paragraph" w:customStyle="1" w:styleId="CharCharCharChar9">
    <w:name w:val="Char Char Char Char9"/>
    <w:basedOn w:val="Normal"/>
    <w:uiPriority w:val="99"/>
    <w:rsid w:val="00FB5883"/>
    <w:pPr>
      <w:spacing w:after="160" w:line="240" w:lineRule="exact"/>
    </w:pPr>
    <w:rPr>
      <w:rFonts w:ascii="Verdana" w:eastAsia="Times New Roman" w:hAnsi="Verdana"/>
      <w:sz w:val="20"/>
      <w:szCs w:val="20"/>
      <w:lang w:eastAsia="en-US"/>
    </w:rPr>
  </w:style>
  <w:style w:type="paragraph" w:customStyle="1" w:styleId="Char10">
    <w:name w:val="Char10"/>
    <w:basedOn w:val="Normal"/>
    <w:uiPriority w:val="99"/>
    <w:rsid w:val="00FB5883"/>
    <w:pPr>
      <w:pageBreakBefore/>
      <w:spacing w:before="100" w:beforeAutospacing="1" w:after="100" w:afterAutospacing="1" w:line="264" w:lineRule="auto"/>
    </w:pPr>
    <w:rPr>
      <w:rFonts w:ascii="Tahoma" w:eastAsia="Times New Roman" w:hAnsi="Tahoma" w:cs="Tahoma"/>
      <w:sz w:val="20"/>
      <w:szCs w:val="20"/>
      <w:lang w:eastAsia="en-US"/>
    </w:rPr>
  </w:style>
  <w:style w:type="paragraph" w:customStyle="1" w:styleId="Char11">
    <w:name w:val="Char11"/>
    <w:basedOn w:val="Normal"/>
    <w:uiPriority w:val="99"/>
    <w:rsid w:val="00FB5883"/>
    <w:pPr>
      <w:pageBreakBefore/>
      <w:spacing w:before="100" w:beforeAutospacing="1" w:after="100" w:afterAutospacing="1" w:line="264" w:lineRule="auto"/>
    </w:pPr>
    <w:rPr>
      <w:rFonts w:ascii="Tahoma" w:eastAsia="Times New Roman" w:hAnsi="Tahoma" w:cs="Tahoma"/>
      <w:sz w:val="20"/>
      <w:szCs w:val="20"/>
      <w:lang w:eastAsia="en-US"/>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FB5883"/>
    <w:pPr>
      <w:pageBreakBefore/>
      <w:spacing w:before="100" w:beforeAutospacing="1" w:after="100" w:afterAutospacing="1" w:line="264" w:lineRule="auto"/>
    </w:pPr>
    <w:rPr>
      <w:rFonts w:ascii="Tahoma" w:eastAsia="Times New Roman" w:hAnsi="Tahoma"/>
      <w:sz w:val="20"/>
      <w:szCs w:val="20"/>
      <w:lang w:eastAsia="en-US"/>
    </w:rPr>
  </w:style>
  <w:style w:type="paragraph" w:styleId="BodyTextIndent">
    <w:name w:val="Body Text Indent"/>
    <w:basedOn w:val="Normal"/>
    <w:link w:val="BodyTextIndentChar"/>
    <w:uiPriority w:val="99"/>
    <w:semiHidden/>
    <w:rsid w:val="00FB5883"/>
    <w:pPr>
      <w:spacing w:after="120" w:line="264" w:lineRule="auto"/>
      <w:ind w:left="360" w:firstLine="567"/>
      <w:jc w:val="both"/>
    </w:pPr>
    <w:rPr>
      <w:rFonts w:eastAsia="Times New Roman"/>
      <w:sz w:val="28"/>
      <w:lang w:eastAsia="en-US"/>
    </w:rPr>
  </w:style>
  <w:style w:type="character" w:customStyle="1" w:styleId="BodyTextIndentChar">
    <w:name w:val="Body Text Indent Char"/>
    <w:basedOn w:val="DefaultParagraphFont"/>
    <w:link w:val="BodyTextIndent"/>
    <w:uiPriority w:val="99"/>
    <w:semiHidden/>
    <w:rsid w:val="00FB5883"/>
    <w:rPr>
      <w:rFonts w:eastAsia="Times New Roman"/>
      <w:sz w:val="28"/>
      <w:szCs w:val="24"/>
    </w:rPr>
  </w:style>
  <w:style w:type="paragraph" w:styleId="Index1">
    <w:name w:val="index 1"/>
    <w:basedOn w:val="Normal"/>
    <w:next w:val="Normal"/>
    <w:autoRedefine/>
    <w:semiHidden/>
    <w:rsid w:val="00FB5883"/>
    <w:pPr>
      <w:spacing w:line="264" w:lineRule="auto"/>
      <w:ind w:left="280" w:hanging="280"/>
    </w:pPr>
    <w:rPr>
      <w:rFonts w:eastAsia="Times New Roman"/>
      <w:sz w:val="18"/>
      <w:szCs w:val="18"/>
      <w:lang w:eastAsia="en-US"/>
    </w:rPr>
  </w:style>
  <w:style w:type="paragraph" w:styleId="Index2">
    <w:name w:val="index 2"/>
    <w:basedOn w:val="Normal"/>
    <w:next w:val="Normal"/>
    <w:autoRedefine/>
    <w:semiHidden/>
    <w:rsid w:val="00FB5883"/>
    <w:pPr>
      <w:spacing w:line="264" w:lineRule="auto"/>
      <w:ind w:left="560" w:hanging="280"/>
    </w:pPr>
    <w:rPr>
      <w:rFonts w:eastAsia="Times New Roman"/>
      <w:sz w:val="18"/>
      <w:szCs w:val="18"/>
      <w:lang w:eastAsia="en-US"/>
    </w:rPr>
  </w:style>
  <w:style w:type="paragraph" w:styleId="Index3">
    <w:name w:val="index 3"/>
    <w:basedOn w:val="Normal"/>
    <w:next w:val="Normal"/>
    <w:autoRedefine/>
    <w:semiHidden/>
    <w:rsid w:val="00FB5883"/>
    <w:pPr>
      <w:spacing w:line="264" w:lineRule="auto"/>
      <w:ind w:left="840" w:hanging="280"/>
    </w:pPr>
    <w:rPr>
      <w:rFonts w:eastAsia="Times New Roman"/>
      <w:sz w:val="18"/>
      <w:szCs w:val="18"/>
      <w:lang w:eastAsia="en-US"/>
    </w:rPr>
  </w:style>
  <w:style w:type="paragraph" w:styleId="Index4">
    <w:name w:val="index 4"/>
    <w:basedOn w:val="Normal"/>
    <w:next w:val="Normal"/>
    <w:autoRedefine/>
    <w:semiHidden/>
    <w:rsid w:val="00FB5883"/>
    <w:pPr>
      <w:spacing w:line="264" w:lineRule="auto"/>
      <w:ind w:left="1120" w:hanging="280"/>
    </w:pPr>
    <w:rPr>
      <w:rFonts w:eastAsia="Times New Roman"/>
      <w:sz w:val="18"/>
      <w:szCs w:val="18"/>
      <w:lang w:eastAsia="en-US"/>
    </w:rPr>
  </w:style>
  <w:style w:type="paragraph" w:styleId="Index5">
    <w:name w:val="index 5"/>
    <w:basedOn w:val="Normal"/>
    <w:next w:val="Normal"/>
    <w:autoRedefine/>
    <w:semiHidden/>
    <w:rsid w:val="00FB5883"/>
    <w:pPr>
      <w:spacing w:line="264" w:lineRule="auto"/>
      <w:ind w:left="1400" w:hanging="280"/>
    </w:pPr>
    <w:rPr>
      <w:rFonts w:eastAsia="Times New Roman"/>
      <w:sz w:val="18"/>
      <w:szCs w:val="18"/>
      <w:lang w:eastAsia="en-US"/>
    </w:rPr>
  </w:style>
  <w:style w:type="paragraph" w:styleId="Index6">
    <w:name w:val="index 6"/>
    <w:basedOn w:val="Normal"/>
    <w:next w:val="Normal"/>
    <w:autoRedefine/>
    <w:semiHidden/>
    <w:rsid w:val="00FB5883"/>
    <w:pPr>
      <w:spacing w:line="264" w:lineRule="auto"/>
      <w:ind w:left="1680" w:hanging="280"/>
    </w:pPr>
    <w:rPr>
      <w:rFonts w:eastAsia="Times New Roman"/>
      <w:sz w:val="18"/>
      <w:szCs w:val="18"/>
      <w:lang w:eastAsia="en-US"/>
    </w:rPr>
  </w:style>
  <w:style w:type="paragraph" w:styleId="Index7">
    <w:name w:val="index 7"/>
    <w:basedOn w:val="Normal"/>
    <w:next w:val="Normal"/>
    <w:autoRedefine/>
    <w:semiHidden/>
    <w:rsid w:val="00FB5883"/>
    <w:pPr>
      <w:spacing w:line="264" w:lineRule="auto"/>
      <w:ind w:left="1960" w:hanging="280"/>
    </w:pPr>
    <w:rPr>
      <w:rFonts w:eastAsia="Times New Roman"/>
      <w:sz w:val="18"/>
      <w:szCs w:val="18"/>
      <w:lang w:eastAsia="en-US"/>
    </w:rPr>
  </w:style>
  <w:style w:type="paragraph" w:styleId="Index8">
    <w:name w:val="index 8"/>
    <w:basedOn w:val="Normal"/>
    <w:next w:val="Normal"/>
    <w:autoRedefine/>
    <w:semiHidden/>
    <w:rsid w:val="00FB5883"/>
    <w:pPr>
      <w:spacing w:line="264" w:lineRule="auto"/>
      <w:ind w:left="2240" w:hanging="280"/>
    </w:pPr>
    <w:rPr>
      <w:rFonts w:eastAsia="Times New Roman"/>
      <w:sz w:val="18"/>
      <w:szCs w:val="18"/>
      <w:lang w:eastAsia="en-US"/>
    </w:rPr>
  </w:style>
  <w:style w:type="paragraph" w:styleId="Index9">
    <w:name w:val="index 9"/>
    <w:basedOn w:val="Normal"/>
    <w:next w:val="Normal"/>
    <w:autoRedefine/>
    <w:semiHidden/>
    <w:rsid w:val="00FB5883"/>
    <w:pPr>
      <w:spacing w:line="264" w:lineRule="auto"/>
      <w:ind w:left="2520" w:hanging="280"/>
    </w:pPr>
    <w:rPr>
      <w:rFonts w:eastAsia="Times New Roman"/>
      <w:sz w:val="18"/>
      <w:szCs w:val="18"/>
      <w:lang w:eastAsia="en-US"/>
    </w:rPr>
  </w:style>
  <w:style w:type="paragraph" w:styleId="IndexHeading">
    <w:name w:val="index heading"/>
    <w:basedOn w:val="Normal"/>
    <w:next w:val="Index1"/>
    <w:semiHidden/>
    <w:rsid w:val="00FB5883"/>
    <w:pPr>
      <w:spacing w:before="240" w:after="120" w:line="264" w:lineRule="auto"/>
      <w:ind w:firstLine="567"/>
      <w:jc w:val="center"/>
    </w:pPr>
    <w:rPr>
      <w:rFonts w:eastAsia="Times New Roman"/>
      <w:b/>
      <w:bCs/>
      <w:sz w:val="26"/>
      <w:szCs w:val="26"/>
      <w:lang w:eastAsia="en-US"/>
    </w:rPr>
  </w:style>
  <w:style w:type="numbering" w:customStyle="1" w:styleId="StyleBulletedSymbolsymbolLeft025Hanging0251">
    <w:name w:val="Style Bulleted Symbol (symbol) Left:  0.25&quot; Hanging:  0.25&quot;1"/>
    <w:basedOn w:val="NoList"/>
    <w:rsid w:val="00FB5883"/>
    <w:pPr>
      <w:numPr>
        <w:numId w:val="9"/>
      </w:numPr>
    </w:pPr>
  </w:style>
  <w:style w:type="paragraph" w:customStyle="1" w:styleId="Style1">
    <w:name w:val="Style1"/>
    <w:basedOn w:val="Figure"/>
    <w:rsid w:val="00FB5883"/>
    <w:pPr>
      <w:numPr>
        <w:numId w:val="0"/>
      </w:numPr>
      <w:tabs>
        <w:tab w:val="num" w:pos="1080"/>
      </w:tabs>
      <w:ind w:left="1080" w:hanging="360"/>
    </w:pPr>
  </w:style>
  <w:style w:type="paragraph" w:styleId="TOCHeading">
    <w:name w:val="TOC Heading"/>
    <w:basedOn w:val="Heading1"/>
    <w:next w:val="Normal"/>
    <w:uiPriority w:val="39"/>
    <w:unhideWhenUsed/>
    <w:qFormat/>
    <w:rsid w:val="00FB5883"/>
    <w:pPr>
      <w:keepLines/>
      <w:spacing w:before="480" w:after="0" w:line="276" w:lineRule="auto"/>
      <w:outlineLvl w:val="9"/>
    </w:pPr>
    <w:rPr>
      <w:color w:val="365F91"/>
      <w:kern w:val="0"/>
      <w:sz w:val="28"/>
      <w:szCs w:val="28"/>
      <w:lang w:val="en-US" w:eastAsia="en-US"/>
    </w:rPr>
  </w:style>
  <w:style w:type="paragraph" w:styleId="NoSpacing">
    <w:name w:val="No Spacing"/>
    <w:link w:val="NoSpacingChar"/>
    <w:uiPriority w:val="1"/>
    <w:qFormat/>
    <w:rsid w:val="00FB5883"/>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FB5883"/>
    <w:rPr>
      <w:rFonts w:asciiTheme="minorHAnsi" w:eastAsiaTheme="minorEastAsia" w:hAnsiTheme="minorHAnsi" w:cstheme="minorBidi"/>
      <w:sz w:val="22"/>
      <w:szCs w:val="22"/>
    </w:rPr>
  </w:style>
  <w:style w:type="character" w:styleId="PlaceholderText">
    <w:name w:val="Placeholder Text"/>
    <w:basedOn w:val="DefaultParagraphFont"/>
    <w:uiPriority w:val="99"/>
    <w:semiHidden/>
    <w:rsid w:val="00FB5883"/>
    <w:rPr>
      <w:color w:val="808080"/>
    </w:rPr>
  </w:style>
  <w:style w:type="numbering" w:customStyle="1" w:styleId="Style2">
    <w:name w:val="Style2"/>
    <w:uiPriority w:val="99"/>
    <w:rsid w:val="00FB5883"/>
    <w:pPr>
      <w:numPr>
        <w:numId w:val="10"/>
      </w:numPr>
    </w:pPr>
  </w:style>
  <w:style w:type="paragraph" w:customStyle="1" w:styleId="MTDisplayEquation">
    <w:name w:val="MTDisplayEquation"/>
    <w:basedOn w:val="Normal"/>
    <w:next w:val="Normal"/>
    <w:link w:val="MTDisplayEquationChar"/>
    <w:rsid w:val="00FB5883"/>
    <w:pPr>
      <w:tabs>
        <w:tab w:val="center" w:pos="4520"/>
        <w:tab w:val="right" w:pos="9020"/>
      </w:tabs>
      <w:spacing w:line="336" w:lineRule="auto"/>
      <w:jc w:val="both"/>
    </w:pPr>
    <w:rPr>
      <w:rFonts w:eastAsia="Times New Roman"/>
      <w:sz w:val="28"/>
      <w:lang w:eastAsia="en-US"/>
    </w:rPr>
  </w:style>
  <w:style w:type="character" w:customStyle="1" w:styleId="MTDisplayEquationChar">
    <w:name w:val="MTDisplayEquation Char"/>
    <w:basedOn w:val="DefaultParagraphFont"/>
    <w:link w:val="MTDisplayEquation"/>
    <w:rsid w:val="00FB5883"/>
    <w:rPr>
      <w:rFonts w:eastAsia="Times New Roman"/>
      <w:sz w:val="28"/>
      <w:szCs w:val="24"/>
    </w:rPr>
  </w:style>
  <w:style w:type="paragraph" w:customStyle="1" w:styleId="sgtosupertitle">
    <w:name w:val="sgtosupertitle"/>
    <w:basedOn w:val="Normal"/>
    <w:rsid w:val="00FB5883"/>
    <w:pPr>
      <w:spacing w:before="100" w:beforeAutospacing="1" w:after="100" w:afterAutospacing="1" w:line="264" w:lineRule="auto"/>
    </w:pPr>
    <w:rPr>
      <w:rFonts w:eastAsia="Times New Roman"/>
      <w:sz w:val="28"/>
      <w:lang w:eastAsia="en-US"/>
    </w:rPr>
  </w:style>
  <w:style w:type="paragraph" w:customStyle="1" w:styleId="tim">
    <w:name w:val="tim"/>
    <w:basedOn w:val="NormalWeb"/>
    <w:rsid w:val="00FB5883"/>
    <w:pPr>
      <w:spacing w:line="264" w:lineRule="auto"/>
    </w:pPr>
    <w:rPr>
      <w:lang w:val="en-US" w:eastAsia="en-US"/>
    </w:rPr>
  </w:style>
  <w:style w:type="table" w:styleId="LightGrid-Accent5">
    <w:name w:val="Light Grid Accent 5"/>
    <w:basedOn w:val="TableNormal"/>
    <w:uiPriority w:val="62"/>
    <w:rsid w:val="00FB5883"/>
    <w:rPr>
      <w:rFonts w:asciiTheme="minorHAnsi" w:eastAsiaTheme="minorHAnsi" w:hAnsiTheme="minorHAnsi" w:cstheme="minorBidi"/>
      <w:sz w:val="22"/>
      <w:szCs w:val="22"/>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TableGrid1">
    <w:name w:val="Table Grid1"/>
    <w:basedOn w:val="TableNormal"/>
    <w:next w:val="TableGrid"/>
    <w:uiPriority w:val="59"/>
    <w:rsid w:val="00FB5883"/>
    <w:rPr>
      <w:rFonts w:eastAsia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6">
    <w:name w:val="Light Grid Accent 6"/>
    <w:basedOn w:val="TableNormal"/>
    <w:uiPriority w:val="62"/>
    <w:rsid w:val="00FB5883"/>
    <w:rPr>
      <w:rFonts w:asciiTheme="minorHAnsi" w:eastAsiaTheme="minorEastAsia" w:hAnsiTheme="minorHAnsi" w:cstheme="minorBidi"/>
      <w:sz w:val="22"/>
      <w:szCs w:val="22"/>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NormalIndent">
    <w:name w:val="Normal Indent"/>
    <w:basedOn w:val="Normal"/>
    <w:uiPriority w:val="99"/>
    <w:unhideWhenUsed/>
    <w:rsid w:val="00FB5883"/>
    <w:pPr>
      <w:spacing w:after="120" w:line="264" w:lineRule="auto"/>
      <w:jc w:val="both"/>
    </w:pPr>
    <w:rPr>
      <w:rFonts w:eastAsia="Times New Roman"/>
      <w:sz w:val="28"/>
      <w:lang w:eastAsia="en-US"/>
    </w:rPr>
  </w:style>
  <w:style w:type="table" w:customStyle="1" w:styleId="TableGrid2">
    <w:name w:val="Table Grid2"/>
    <w:basedOn w:val="TableNormal"/>
    <w:next w:val="TableGrid"/>
    <w:uiPriority w:val="39"/>
    <w:rsid w:val="00FB5883"/>
    <w:pPr>
      <w:jc w:val="both"/>
    </w:pPr>
    <w:rPr>
      <w:rFonts w:eastAsia="Calibri" w:cstheme="minorBid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B5883"/>
    <w:pPr>
      <w:jc w:val="both"/>
    </w:pPr>
    <w:rPr>
      <w:rFonts w:eastAsia="Calibri" w:cstheme="minorBid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Normal">
    <w:name w:val="1Normal"/>
    <w:basedOn w:val="Normal"/>
    <w:link w:val="1NormalChar"/>
    <w:autoRedefine/>
    <w:qFormat/>
    <w:rsid w:val="007F2DE2"/>
    <w:pPr>
      <w:numPr>
        <w:numId w:val="26"/>
      </w:numPr>
      <w:shd w:val="clear" w:color="auto" w:fill="FFFFFF"/>
      <w:spacing w:before="120" w:after="120" w:line="264" w:lineRule="auto"/>
      <w:ind w:left="0" w:firstLine="567"/>
      <w:jc w:val="both"/>
    </w:pPr>
    <w:rPr>
      <w:rFonts w:eastAsia="Calibri" w:cs="Arial"/>
      <w:i/>
      <w:color w:val="000000" w:themeColor="text1"/>
      <w:spacing w:val="-4"/>
      <w:kern w:val="36"/>
      <w:sz w:val="28"/>
      <w:szCs w:val="28"/>
      <w:lang w:val="es-ES" w:eastAsia="x-none"/>
    </w:rPr>
  </w:style>
  <w:style w:type="character" w:customStyle="1" w:styleId="1NormalChar">
    <w:name w:val="1Normal Char"/>
    <w:link w:val="1Normal"/>
    <w:rsid w:val="007F2DE2"/>
    <w:rPr>
      <w:rFonts w:eastAsia="Calibri" w:cs="Arial"/>
      <w:i/>
      <w:color w:val="000000" w:themeColor="text1"/>
      <w:spacing w:val="-4"/>
      <w:kern w:val="36"/>
      <w:sz w:val="28"/>
      <w:szCs w:val="28"/>
      <w:shd w:val="clear" w:color="auto" w:fill="FFFFFF"/>
      <w:lang w:val="es-ES" w:eastAsia="x-none"/>
    </w:rPr>
  </w:style>
  <w:style w:type="paragraph" w:customStyle="1" w:styleId="Normal0">
    <w:name w:val="[Normal]"/>
    <w:rsid w:val="00057544"/>
    <w:rPr>
      <w:rFonts w:ascii="Arial" w:eastAsia="Arial" w:hAnsi="Arial"/>
      <w:sz w:val="24"/>
    </w:rPr>
  </w:style>
  <w:style w:type="paragraph" w:styleId="BodyTextIndent2">
    <w:name w:val="Body Text Indent 2"/>
    <w:basedOn w:val="Normal"/>
    <w:link w:val="BodyTextIndent2Char"/>
    <w:rsid w:val="003E2FEB"/>
    <w:pPr>
      <w:spacing w:after="120" w:line="480" w:lineRule="auto"/>
      <w:ind w:left="360"/>
    </w:pPr>
    <w:rPr>
      <w:rFonts w:eastAsia="Times New Roman"/>
      <w:sz w:val="28"/>
      <w:szCs w:val="28"/>
      <w:lang w:val="en-GB" w:eastAsia="en-US"/>
    </w:rPr>
  </w:style>
  <w:style w:type="character" w:customStyle="1" w:styleId="BodyTextIndent2Char">
    <w:name w:val="Body Text Indent 2 Char"/>
    <w:basedOn w:val="DefaultParagraphFont"/>
    <w:link w:val="BodyTextIndent2"/>
    <w:rsid w:val="003E2FEB"/>
    <w:rPr>
      <w:rFonts w:eastAsia="Times New Roman"/>
      <w:sz w:val="28"/>
      <w:szCs w:val="28"/>
      <w:lang w:val="en-GB"/>
    </w:rPr>
  </w:style>
  <w:style w:type="character" w:customStyle="1" w:styleId="BodyText2Char">
    <w:name w:val="Body Text 2 Char"/>
    <w:basedOn w:val="DefaultParagraphFont"/>
    <w:link w:val="BodyText2"/>
    <w:uiPriority w:val="99"/>
    <w:rsid w:val="003E2FEB"/>
    <w:rPr>
      <w:rFonts w:ascii=".VnTime" w:eastAsia="Times New Roman" w:hAnsi=".VnTime"/>
      <w:b/>
      <w:bCs/>
      <w:sz w:val="28"/>
      <w:szCs w:val="24"/>
    </w:rPr>
  </w:style>
  <w:style w:type="character" w:customStyle="1" w:styleId="a21">
    <w:name w:val="a21"/>
    <w:basedOn w:val="DefaultParagraphFont"/>
    <w:rsid w:val="003E2FEB"/>
    <w:rPr>
      <w:rFonts w:ascii="Arial" w:hAnsi="Arial" w:cs="Arial" w:hint="default"/>
      <w:strike w:val="0"/>
      <w:dstrike w:val="0"/>
      <w:sz w:val="20"/>
      <w:szCs w:val="20"/>
      <w:u w:val="none"/>
      <w:effect w:val="none"/>
    </w:rPr>
  </w:style>
  <w:style w:type="character" w:customStyle="1" w:styleId="contentdetail">
    <w:name w:val="contentdetail"/>
    <w:basedOn w:val="DefaultParagraphFont"/>
    <w:rsid w:val="003E2FEB"/>
  </w:style>
  <w:style w:type="character" w:customStyle="1" w:styleId="04Body-KTXH2017Char">
    <w:name w:val="04.Body-KTXH2017 Char"/>
    <w:link w:val="04Body-KTXH2017"/>
    <w:locked/>
    <w:rsid w:val="003E2FEB"/>
    <w:rPr>
      <w:lang w:val="it-IT"/>
    </w:rPr>
  </w:style>
  <w:style w:type="paragraph" w:customStyle="1" w:styleId="04Body-KTXH2017">
    <w:name w:val="04.Body-KTXH2017"/>
    <w:basedOn w:val="Normal"/>
    <w:link w:val="04Body-KTXH2017Char"/>
    <w:qFormat/>
    <w:rsid w:val="003E2FEB"/>
    <w:pPr>
      <w:spacing w:before="120" w:after="120" w:line="288" w:lineRule="auto"/>
      <w:ind w:firstLine="567"/>
      <w:jc w:val="both"/>
    </w:pPr>
    <w:rPr>
      <w:sz w:val="20"/>
      <w:szCs w:val="20"/>
      <w:lang w:val="it-IT" w:eastAsia="en-US"/>
    </w:rPr>
  </w:style>
  <w:style w:type="character" w:customStyle="1" w:styleId="Vnbnnidung2">
    <w:name w:val="Văn bản nội dung (2)_"/>
    <w:link w:val="Vnbnnidung20"/>
    <w:locked/>
    <w:rsid w:val="00EA3EDE"/>
    <w:rPr>
      <w:sz w:val="28"/>
      <w:szCs w:val="28"/>
      <w:shd w:val="clear" w:color="auto" w:fill="FFFFFF"/>
    </w:rPr>
  </w:style>
  <w:style w:type="paragraph" w:customStyle="1" w:styleId="Vnbnnidung20">
    <w:name w:val="Văn bản nội dung (2)"/>
    <w:basedOn w:val="Normal"/>
    <w:link w:val="Vnbnnidung2"/>
    <w:rsid w:val="00EA3EDE"/>
    <w:pPr>
      <w:widowControl w:val="0"/>
      <w:shd w:val="clear" w:color="auto" w:fill="FFFFFF"/>
      <w:spacing w:after="60" w:line="0" w:lineRule="atLeast"/>
      <w:jc w:val="both"/>
    </w:pPr>
    <w:rPr>
      <w:sz w:val="28"/>
      <w:szCs w:val="28"/>
      <w:lang w:eastAsia="en-US"/>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217446"/>
    <w:pPr>
      <w:spacing w:after="160" w:line="240" w:lineRule="exact"/>
    </w:pPr>
    <w:rPr>
      <w:sz w:val="20"/>
      <w:szCs w:val="20"/>
      <w:vertAlign w:val="superscript"/>
      <w:lang w:eastAsia="en-US"/>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rsid w:val="00BE0EF0"/>
    <w:pPr>
      <w:spacing w:after="160" w:line="240" w:lineRule="exact"/>
    </w:pPr>
    <w:rPr>
      <w:rFonts w:eastAsia="Times New Roman"/>
      <w:sz w:val="20"/>
      <w:szCs w:val="20"/>
      <w:vertAlign w:val="superscript"/>
      <w:lang w:eastAsia="en-US"/>
    </w:rPr>
  </w:style>
  <w:style w:type="paragraph" w:customStyle="1" w:styleId="pbody">
    <w:name w:val="pbody"/>
    <w:basedOn w:val="Normal"/>
    <w:rsid w:val="00350A50"/>
    <w:rPr>
      <w:rFonts w:ascii="Tahoma" w:eastAsia="Times New Roman" w:hAnsi="Tahoma" w:cs="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60040">
      <w:bodyDiv w:val="1"/>
      <w:marLeft w:val="0"/>
      <w:marRight w:val="0"/>
      <w:marTop w:val="0"/>
      <w:marBottom w:val="0"/>
      <w:divBdr>
        <w:top w:val="none" w:sz="0" w:space="0" w:color="auto"/>
        <w:left w:val="none" w:sz="0" w:space="0" w:color="auto"/>
        <w:bottom w:val="none" w:sz="0" w:space="0" w:color="auto"/>
        <w:right w:val="none" w:sz="0" w:space="0" w:color="auto"/>
      </w:divBdr>
      <w:divsChild>
        <w:div w:id="1115095197">
          <w:marLeft w:val="446"/>
          <w:marRight w:val="0"/>
          <w:marTop w:val="0"/>
          <w:marBottom w:val="0"/>
          <w:divBdr>
            <w:top w:val="none" w:sz="0" w:space="0" w:color="auto"/>
            <w:left w:val="none" w:sz="0" w:space="0" w:color="auto"/>
            <w:bottom w:val="none" w:sz="0" w:space="0" w:color="auto"/>
            <w:right w:val="none" w:sz="0" w:space="0" w:color="auto"/>
          </w:divBdr>
        </w:div>
      </w:divsChild>
    </w:div>
    <w:div w:id="36978763">
      <w:bodyDiv w:val="1"/>
      <w:marLeft w:val="0"/>
      <w:marRight w:val="0"/>
      <w:marTop w:val="0"/>
      <w:marBottom w:val="0"/>
      <w:divBdr>
        <w:top w:val="none" w:sz="0" w:space="0" w:color="auto"/>
        <w:left w:val="none" w:sz="0" w:space="0" w:color="auto"/>
        <w:bottom w:val="none" w:sz="0" w:space="0" w:color="auto"/>
        <w:right w:val="none" w:sz="0" w:space="0" w:color="auto"/>
      </w:divBdr>
      <w:divsChild>
        <w:div w:id="1756824227">
          <w:marLeft w:val="547"/>
          <w:marRight w:val="0"/>
          <w:marTop w:val="0"/>
          <w:marBottom w:val="0"/>
          <w:divBdr>
            <w:top w:val="none" w:sz="0" w:space="0" w:color="auto"/>
            <w:left w:val="none" w:sz="0" w:space="0" w:color="auto"/>
            <w:bottom w:val="none" w:sz="0" w:space="0" w:color="auto"/>
            <w:right w:val="none" w:sz="0" w:space="0" w:color="auto"/>
          </w:divBdr>
        </w:div>
      </w:divsChild>
    </w:div>
    <w:div w:id="108939762">
      <w:bodyDiv w:val="1"/>
      <w:marLeft w:val="0"/>
      <w:marRight w:val="0"/>
      <w:marTop w:val="0"/>
      <w:marBottom w:val="0"/>
      <w:divBdr>
        <w:top w:val="none" w:sz="0" w:space="0" w:color="auto"/>
        <w:left w:val="none" w:sz="0" w:space="0" w:color="auto"/>
        <w:bottom w:val="none" w:sz="0" w:space="0" w:color="auto"/>
        <w:right w:val="none" w:sz="0" w:space="0" w:color="auto"/>
      </w:divBdr>
    </w:div>
    <w:div w:id="158694136">
      <w:bodyDiv w:val="1"/>
      <w:marLeft w:val="0"/>
      <w:marRight w:val="0"/>
      <w:marTop w:val="0"/>
      <w:marBottom w:val="0"/>
      <w:divBdr>
        <w:top w:val="none" w:sz="0" w:space="0" w:color="auto"/>
        <w:left w:val="none" w:sz="0" w:space="0" w:color="auto"/>
        <w:bottom w:val="none" w:sz="0" w:space="0" w:color="auto"/>
        <w:right w:val="none" w:sz="0" w:space="0" w:color="auto"/>
      </w:divBdr>
    </w:div>
    <w:div w:id="215549436">
      <w:bodyDiv w:val="1"/>
      <w:marLeft w:val="0"/>
      <w:marRight w:val="0"/>
      <w:marTop w:val="0"/>
      <w:marBottom w:val="0"/>
      <w:divBdr>
        <w:top w:val="none" w:sz="0" w:space="0" w:color="auto"/>
        <w:left w:val="none" w:sz="0" w:space="0" w:color="auto"/>
        <w:bottom w:val="none" w:sz="0" w:space="0" w:color="auto"/>
        <w:right w:val="none" w:sz="0" w:space="0" w:color="auto"/>
      </w:divBdr>
    </w:div>
    <w:div w:id="223757586">
      <w:bodyDiv w:val="1"/>
      <w:marLeft w:val="0"/>
      <w:marRight w:val="0"/>
      <w:marTop w:val="0"/>
      <w:marBottom w:val="0"/>
      <w:divBdr>
        <w:top w:val="none" w:sz="0" w:space="0" w:color="auto"/>
        <w:left w:val="none" w:sz="0" w:space="0" w:color="auto"/>
        <w:bottom w:val="none" w:sz="0" w:space="0" w:color="auto"/>
        <w:right w:val="none" w:sz="0" w:space="0" w:color="auto"/>
      </w:divBdr>
    </w:div>
    <w:div w:id="238682861">
      <w:bodyDiv w:val="1"/>
      <w:marLeft w:val="0"/>
      <w:marRight w:val="0"/>
      <w:marTop w:val="0"/>
      <w:marBottom w:val="0"/>
      <w:divBdr>
        <w:top w:val="none" w:sz="0" w:space="0" w:color="auto"/>
        <w:left w:val="none" w:sz="0" w:space="0" w:color="auto"/>
        <w:bottom w:val="none" w:sz="0" w:space="0" w:color="auto"/>
        <w:right w:val="none" w:sz="0" w:space="0" w:color="auto"/>
      </w:divBdr>
    </w:div>
    <w:div w:id="267742825">
      <w:bodyDiv w:val="1"/>
      <w:marLeft w:val="0"/>
      <w:marRight w:val="0"/>
      <w:marTop w:val="0"/>
      <w:marBottom w:val="0"/>
      <w:divBdr>
        <w:top w:val="none" w:sz="0" w:space="0" w:color="auto"/>
        <w:left w:val="none" w:sz="0" w:space="0" w:color="auto"/>
        <w:bottom w:val="none" w:sz="0" w:space="0" w:color="auto"/>
        <w:right w:val="none" w:sz="0" w:space="0" w:color="auto"/>
      </w:divBdr>
    </w:div>
    <w:div w:id="312875845">
      <w:bodyDiv w:val="1"/>
      <w:marLeft w:val="0"/>
      <w:marRight w:val="0"/>
      <w:marTop w:val="0"/>
      <w:marBottom w:val="0"/>
      <w:divBdr>
        <w:top w:val="none" w:sz="0" w:space="0" w:color="auto"/>
        <w:left w:val="none" w:sz="0" w:space="0" w:color="auto"/>
        <w:bottom w:val="none" w:sz="0" w:space="0" w:color="auto"/>
        <w:right w:val="none" w:sz="0" w:space="0" w:color="auto"/>
      </w:divBdr>
    </w:div>
    <w:div w:id="330450036">
      <w:bodyDiv w:val="1"/>
      <w:marLeft w:val="0"/>
      <w:marRight w:val="0"/>
      <w:marTop w:val="0"/>
      <w:marBottom w:val="0"/>
      <w:divBdr>
        <w:top w:val="none" w:sz="0" w:space="0" w:color="auto"/>
        <w:left w:val="none" w:sz="0" w:space="0" w:color="auto"/>
        <w:bottom w:val="none" w:sz="0" w:space="0" w:color="auto"/>
        <w:right w:val="none" w:sz="0" w:space="0" w:color="auto"/>
      </w:divBdr>
      <w:divsChild>
        <w:div w:id="576793260">
          <w:marLeft w:val="446"/>
          <w:marRight w:val="0"/>
          <w:marTop w:val="0"/>
          <w:marBottom w:val="0"/>
          <w:divBdr>
            <w:top w:val="none" w:sz="0" w:space="0" w:color="auto"/>
            <w:left w:val="none" w:sz="0" w:space="0" w:color="auto"/>
            <w:bottom w:val="none" w:sz="0" w:space="0" w:color="auto"/>
            <w:right w:val="none" w:sz="0" w:space="0" w:color="auto"/>
          </w:divBdr>
        </w:div>
      </w:divsChild>
    </w:div>
    <w:div w:id="335034383">
      <w:bodyDiv w:val="1"/>
      <w:marLeft w:val="0"/>
      <w:marRight w:val="0"/>
      <w:marTop w:val="0"/>
      <w:marBottom w:val="0"/>
      <w:divBdr>
        <w:top w:val="none" w:sz="0" w:space="0" w:color="auto"/>
        <w:left w:val="none" w:sz="0" w:space="0" w:color="auto"/>
        <w:bottom w:val="none" w:sz="0" w:space="0" w:color="auto"/>
        <w:right w:val="none" w:sz="0" w:space="0" w:color="auto"/>
      </w:divBdr>
      <w:divsChild>
        <w:div w:id="795415536">
          <w:marLeft w:val="1267"/>
          <w:marRight w:val="0"/>
          <w:marTop w:val="91"/>
          <w:marBottom w:val="0"/>
          <w:divBdr>
            <w:top w:val="none" w:sz="0" w:space="0" w:color="auto"/>
            <w:left w:val="none" w:sz="0" w:space="0" w:color="auto"/>
            <w:bottom w:val="none" w:sz="0" w:space="0" w:color="auto"/>
            <w:right w:val="none" w:sz="0" w:space="0" w:color="auto"/>
          </w:divBdr>
        </w:div>
        <w:div w:id="1238633570">
          <w:marLeft w:val="1267"/>
          <w:marRight w:val="0"/>
          <w:marTop w:val="91"/>
          <w:marBottom w:val="0"/>
          <w:divBdr>
            <w:top w:val="none" w:sz="0" w:space="0" w:color="auto"/>
            <w:left w:val="none" w:sz="0" w:space="0" w:color="auto"/>
            <w:bottom w:val="none" w:sz="0" w:space="0" w:color="auto"/>
            <w:right w:val="none" w:sz="0" w:space="0" w:color="auto"/>
          </w:divBdr>
        </w:div>
        <w:div w:id="1292327537">
          <w:marLeft w:val="1267"/>
          <w:marRight w:val="0"/>
          <w:marTop w:val="91"/>
          <w:marBottom w:val="0"/>
          <w:divBdr>
            <w:top w:val="none" w:sz="0" w:space="0" w:color="auto"/>
            <w:left w:val="none" w:sz="0" w:space="0" w:color="auto"/>
            <w:bottom w:val="none" w:sz="0" w:space="0" w:color="auto"/>
            <w:right w:val="none" w:sz="0" w:space="0" w:color="auto"/>
          </w:divBdr>
        </w:div>
        <w:div w:id="1695111242">
          <w:marLeft w:val="1267"/>
          <w:marRight w:val="0"/>
          <w:marTop w:val="91"/>
          <w:marBottom w:val="0"/>
          <w:divBdr>
            <w:top w:val="none" w:sz="0" w:space="0" w:color="auto"/>
            <w:left w:val="none" w:sz="0" w:space="0" w:color="auto"/>
            <w:bottom w:val="none" w:sz="0" w:space="0" w:color="auto"/>
            <w:right w:val="none" w:sz="0" w:space="0" w:color="auto"/>
          </w:divBdr>
        </w:div>
        <w:div w:id="1831213706">
          <w:marLeft w:val="1267"/>
          <w:marRight w:val="0"/>
          <w:marTop w:val="91"/>
          <w:marBottom w:val="0"/>
          <w:divBdr>
            <w:top w:val="none" w:sz="0" w:space="0" w:color="auto"/>
            <w:left w:val="none" w:sz="0" w:space="0" w:color="auto"/>
            <w:bottom w:val="none" w:sz="0" w:space="0" w:color="auto"/>
            <w:right w:val="none" w:sz="0" w:space="0" w:color="auto"/>
          </w:divBdr>
        </w:div>
      </w:divsChild>
    </w:div>
    <w:div w:id="354575977">
      <w:bodyDiv w:val="1"/>
      <w:marLeft w:val="0"/>
      <w:marRight w:val="0"/>
      <w:marTop w:val="0"/>
      <w:marBottom w:val="0"/>
      <w:divBdr>
        <w:top w:val="none" w:sz="0" w:space="0" w:color="auto"/>
        <w:left w:val="none" w:sz="0" w:space="0" w:color="auto"/>
        <w:bottom w:val="none" w:sz="0" w:space="0" w:color="auto"/>
        <w:right w:val="none" w:sz="0" w:space="0" w:color="auto"/>
      </w:divBdr>
    </w:div>
    <w:div w:id="355080984">
      <w:bodyDiv w:val="1"/>
      <w:marLeft w:val="0"/>
      <w:marRight w:val="0"/>
      <w:marTop w:val="0"/>
      <w:marBottom w:val="0"/>
      <w:divBdr>
        <w:top w:val="none" w:sz="0" w:space="0" w:color="auto"/>
        <w:left w:val="none" w:sz="0" w:space="0" w:color="auto"/>
        <w:bottom w:val="none" w:sz="0" w:space="0" w:color="auto"/>
        <w:right w:val="none" w:sz="0" w:space="0" w:color="auto"/>
      </w:divBdr>
      <w:divsChild>
        <w:div w:id="1511486772">
          <w:marLeft w:val="446"/>
          <w:marRight w:val="0"/>
          <w:marTop w:val="0"/>
          <w:marBottom w:val="0"/>
          <w:divBdr>
            <w:top w:val="none" w:sz="0" w:space="0" w:color="auto"/>
            <w:left w:val="none" w:sz="0" w:space="0" w:color="auto"/>
            <w:bottom w:val="none" w:sz="0" w:space="0" w:color="auto"/>
            <w:right w:val="none" w:sz="0" w:space="0" w:color="auto"/>
          </w:divBdr>
        </w:div>
        <w:div w:id="2145734736">
          <w:marLeft w:val="547"/>
          <w:marRight w:val="0"/>
          <w:marTop w:val="0"/>
          <w:marBottom w:val="0"/>
          <w:divBdr>
            <w:top w:val="none" w:sz="0" w:space="0" w:color="auto"/>
            <w:left w:val="none" w:sz="0" w:space="0" w:color="auto"/>
            <w:bottom w:val="none" w:sz="0" w:space="0" w:color="auto"/>
            <w:right w:val="none" w:sz="0" w:space="0" w:color="auto"/>
          </w:divBdr>
        </w:div>
      </w:divsChild>
    </w:div>
    <w:div w:id="391926734">
      <w:bodyDiv w:val="1"/>
      <w:marLeft w:val="0"/>
      <w:marRight w:val="0"/>
      <w:marTop w:val="0"/>
      <w:marBottom w:val="0"/>
      <w:divBdr>
        <w:top w:val="none" w:sz="0" w:space="0" w:color="auto"/>
        <w:left w:val="none" w:sz="0" w:space="0" w:color="auto"/>
        <w:bottom w:val="none" w:sz="0" w:space="0" w:color="auto"/>
        <w:right w:val="none" w:sz="0" w:space="0" w:color="auto"/>
      </w:divBdr>
    </w:div>
    <w:div w:id="405569319">
      <w:bodyDiv w:val="1"/>
      <w:marLeft w:val="0"/>
      <w:marRight w:val="0"/>
      <w:marTop w:val="0"/>
      <w:marBottom w:val="0"/>
      <w:divBdr>
        <w:top w:val="none" w:sz="0" w:space="0" w:color="auto"/>
        <w:left w:val="none" w:sz="0" w:space="0" w:color="auto"/>
        <w:bottom w:val="none" w:sz="0" w:space="0" w:color="auto"/>
        <w:right w:val="none" w:sz="0" w:space="0" w:color="auto"/>
      </w:divBdr>
      <w:divsChild>
        <w:div w:id="680934771">
          <w:marLeft w:val="1267"/>
          <w:marRight w:val="0"/>
          <w:marTop w:val="96"/>
          <w:marBottom w:val="0"/>
          <w:divBdr>
            <w:top w:val="none" w:sz="0" w:space="0" w:color="auto"/>
            <w:left w:val="none" w:sz="0" w:space="0" w:color="auto"/>
            <w:bottom w:val="none" w:sz="0" w:space="0" w:color="auto"/>
            <w:right w:val="none" w:sz="0" w:space="0" w:color="auto"/>
          </w:divBdr>
        </w:div>
        <w:div w:id="745035124">
          <w:marLeft w:val="1267"/>
          <w:marRight w:val="0"/>
          <w:marTop w:val="96"/>
          <w:marBottom w:val="0"/>
          <w:divBdr>
            <w:top w:val="none" w:sz="0" w:space="0" w:color="auto"/>
            <w:left w:val="none" w:sz="0" w:space="0" w:color="auto"/>
            <w:bottom w:val="none" w:sz="0" w:space="0" w:color="auto"/>
            <w:right w:val="none" w:sz="0" w:space="0" w:color="auto"/>
          </w:divBdr>
        </w:div>
        <w:div w:id="925765665">
          <w:marLeft w:val="1267"/>
          <w:marRight w:val="0"/>
          <w:marTop w:val="96"/>
          <w:marBottom w:val="0"/>
          <w:divBdr>
            <w:top w:val="none" w:sz="0" w:space="0" w:color="auto"/>
            <w:left w:val="none" w:sz="0" w:space="0" w:color="auto"/>
            <w:bottom w:val="none" w:sz="0" w:space="0" w:color="auto"/>
            <w:right w:val="none" w:sz="0" w:space="0" w:color="auto"/>
          </w:divBdr>
        </w:div>
        <w:div w:id="1965310027">
          <w:marLeft w:val="1267"/>
          <w:marRight w:val="0"/>
          <w:marTop w:val="96"/>
          <w:marBottom w:val="0"/>
          <w:divBdr>
            <w:top w:val="none" w:sz="0" w:space="0" w:color="auto"/>
            <w:left w:val="none" w:sz="0" w:space="0" w:color="auto"/>
            <w:bottom w:val="none" w:sz="0" w:space="0" w:color="auto"/>
            <w:right w:val="none" w:sz="0" w:space="0" w:color="auto"/>
          </w:divBdr>
        </w:div>
      </w:divsChild>
    </w:div>
    <w:div w:id="410153984">
      <w:bodyDiv w:val="1"/>
      <w:marLeft w:val="0"/>
      <w:marRight w:val="0"/>
      <w:marTop w:val="0"/>
      <w:marBottom w:val="0"/>
      <w:divBdr>
        <w:top w:val="none" w:sz="0" w:space="0" w:color="auto"/>
        <w:left w:val="none" w:sz="0" w:space="0" w:color="auto"/>
        <w:bottom w:val="none" w:sz="0" w:space="0" w:color="auto"/>
        <w:right w:val="none" w:sz="0" w:space="0" w:color="auto"/>
      </w:divBdr>
    </w:div>
    <w:div w:id="431828110">
      <w:bodyDiv w:val="1"/>
      <w:marLeft w:val="0"/>
      <w:marRight w:val="0"/>
      <w:marTop w:val="0"/>
      <w:marBottom w:val="0"/>
      <w:divBdr>
        <w:top w:val="none" w:sz="0" w:space="0" w:color="auto"/>
        <w:left w:val="none" w:sz="0" w:space="0" w:color="auto"/>
        <w:bottom w:val="none" w:sz="0" w:space="0" w:color="auto"/>
        <w:right w:val="none" w:sz="0" w:space="0" w:color="auto"/>
      </w:divBdr>
    </w:div>
    <w:div w:id="454061604">
      <w:bodyDiv w:val="1"/>
      <w:marLeft w:val="0"/>
      <w:marRight w:val="0"/>
      <w:marTop w:val="0"/>
      <w:marBottom w:val="0"/>
      <w:divBdr>
        <w:top w:val="none" w:sz="0" w:space="0" w:color="auto"/>
        <w:left w:val="none" w:sz="0" w:space="0" w:color="auto"/>
        <w:bottom w:val="none" w:sz="0" w:space="0" w:color="auto"/>
        <w:right w:val="none" w:sz="0" w:space="0" w:color="auto"/>
      </w:divBdr>
    </w:div>
    <w:div w:id="484855444">
      <w:bodyDiv w:val="1"/>
      <w:marLeft w:val="0"/>
      <w:marRight w:val="0"/>
      <w:marTop w:val="0"/>
      <w:marBottom w:val="0"/>
      <w:divBdr>
        <w:top w:val="none" w:sz="0" w:space="0" w:color="auto"/>
        <w:left w:val="none" w:sz="0" w:space="0" w:color="auto"/>
        <w:bottom w:val="none" w:sz="0" w:space="0" w:color="auto"/>
        <w:right w:val="none" w:sz="0" w:space="0" w:color="auto"/>
      </w:divBdr>
    </w:div>
    <w:div w:id="492260163">
      <w:bodyDiv w:val="1"/>
      <w:marLeft w:val="0"/>
      <w:marRight w:val="0"/>
      <w:marTop w:val="0"/>
      <w:marBottom w:val="0"/>
      <w:divBdr>
        <w:top w:val="none" w:sz="0" w:space="0" w:color="auto"/>
        <w:left w:val="none" w:sz="0" w:space="0" w:color="auto"/>
        <w:bottom w:val="none" w:sz="0" w:space="0" w:color="auto"/>
        <w:right w:val="none" w:sz="0" w:space="0" w:color="auto"/>
      </w:divBdr>
    </w:div>
    <w:div w:id="537134082">
      <w:bodyDiv w:val="1"/>
      <w:marLeft w:val="0"/>
      <w:marRight w:val="0"/>
      <w:marTop w:val="0"/>
      <w:marBottom w:val="0"/>
      <w:divBdr>
        <w:top w:val="none" w:sz="0" w:space="0" w:color="auto"/>
        <w:left w:val="none" w:sz="0" w:space="0" w:color="auto"/>
        <w:bottom w:val="none" w:sz="0" w:space="0" w:color="auto"/>
        <w:right w:val="none" w:sz="0" w:space="0" w:color="auto"/>
      </w:divBdr>
    </w:div>
    <w:div w:id="587690533">
      <w:bodyDiv w:val="1"/>
      <w:marLeft w:val="0"/>
      <w:marRight w:val="0"/>
      <w:marTop w:val="0"/>
      <w:marBottom w:val="0"/>
      <w:divBdr>
        <w:top w:val="none" w:sz="0" w:space="0" w:color="auto"/>
        <w:left w:val="none" w:sz="0" w:space="0" w:color="auto"/>
        <w:bottom w:val="none" w:sz="0" w:space="0" w:color="auto"/>
        <w:right w:val="none" w:sz="0" w:space="0" w:color="auto"/>
      </w:divBdr>
    </w:div>
    <w:div w:id="589045134">
      <w:bodyDiv w:val="1"/>
      <w:marLeft w:val="0"/>
      <w:marRight w:val="0"/>
      <w:marTop w:val="0"/>
      <w:marBottom w:val="0"/>
      <w:divBdr>
        <w:top w:val="none" w:sz="0" w:space="0" w:color="auto"/>
        <w:left w:val="none" w:sz="0" w:space="0" w:color="auto"/>
        <w:bottom w:val="none" w:sz="0" w:space="0" w:color="auto"/>
        <w:right w:val="none" w:sz="0" w:space="0" w:color="auto"/>
      </w:divBdr>
    </w:div>
    <w:div w:id="636567193">
      <w:bodyDiv w:val="1"/>
      <w:marLeft w:val="0"/>
      <w:marRight w:val="0"/>
      <w:marTop w:val="0"/>
      <w:marBottom w:val="0"/>
      <w:divBdr>
        <w:top w:val="none" w:sz="0" w:space="0" w:color="auto"/>
        <w:left w:val="none" w:sz="0" w:space="0" w:color="auto"/>
        <w:bottom w:val="none" w:sz="0" w:space="0" w:color="auto"/>
        <w:right w:val="none" w:sz="0" w:space="0" w:color="auto"/>
      </w:divBdr>
    </w:div>
    <w:div w:id="678586709">
      <w:bodyDiv w:val="1"/>
      <w:marLeft w:val="0"/>
      <w:marRight w:val="0"/>
      <w:marTop w:val="0"/>
      <w:marBottom w:val="0"/>
      <w:divBdr>
        <w:top w:val="none" w:sz="0" w:space="0" w:color="auto"/>
        <w:left w:val="none" w:sz="0" w:space="0" w:color="auto"/>
        <w:bottom w:val="none" w:sz="0" w:space="0" w:color="auto"/>
        <w:right w:val="none" w:sz="0" w:space="0" w:color="auto"/>
      </w:divBdr>
    </w:div>
    <w:div w:id="682512943">
      <w:bodyDiv w:val="1"/>
      <w:marLeft w:val="0"/>
      <w:marRight w:val="0"/>
      <w:marTop w:val="0"/>
      <w:marBottom w:val="0"/>
      <w:divBdr>
        <w:top w:val="none" w:sz="0" w:space="0" w:color="auto"/>
        <w:left w:val="none" w:sz="0" w:space="0" w:color="auto"/>
        <w:bottom w:val="none" w:sz="0" w:space="0" w:color="auto"/>
        <w:right w:val="none" w:sz="0" w:space="0" w:color="auto"/>
      </w:divBdr>
    </w:div>
    <w:div w:id="688989568">
      <w:bodyDiv w:val="1"/>
      <w:marLeft w:val="0"/>
      <w:marRight w:val="0"/>
      <w:marTop w:val="0"/>
      <w:marBottom w:val="0"/>
      <w:divBdr>
        <w:top w:val="none" w:sz="0" w:space="0" w:color="auto"/>
        <w:left w:val="none" w:sz="0" w:space="0" w:color="auto"/>
        <w:bottom w:val="none" w:sz="0" w:space="0" w:color="auto"/>
        <w:right w:val="none" w:sz="0" w:space="0" w:color="auto"/>
      </w:divBdr>
    </w:div>
    <w:div w:id="694305295">
      <w:bodyDiv w:val="1"/>
      <w:marLeft w:val="0"/>
      <w:marRight w:val="0"/>
      <w:marTop w:val="0"/>
      <w:marBottom w:val="0"/>
      <w:divBdr>
        <w:top w:val="none" w:sz="0" w:space="0" w:color="auto"/>
        <w:left w:val="none" w:sz="0" w:space="0" w:color="auto"/>
        <w:bottom w:val="none" w:sz="0" w:space="0" w:color="auto"/>
        <w:right w:val="none" w:sz="0" w:space="0" w:color="auto"/>
      </w:divBdr>
      <w:divsChild>
        <w:div w:id="586887853">
          <w:marLeft w:val="446"/>
          <w:marRight w:val="0"/>
          <w:marTop w:val="0"/>
          <w:marBottom w:val="0"/>
          <w:divBdr>
            <w:top w:val="none" w:sz="0" w:space="0" w:color="auto"/>
            <w:left w:val="none" w:sz="0" w:space="0" w:color="auto"/>
            <w:bottom w:val="none" w:sz="0" w:space="0" w:color="auto"/>
            <w:right w:val="none" w:sz="0" w:space="0" w:color="auto"/>
          </w:divBdr>
        </w:div>
        <w:div w:id="997197668">
          <w:marLeft w:val="446"/>
          <w:marRight w:val="0"/>
          <w:marTop w:val="0"/>
          <w:marBottom w:val="0"/>
          <w:divBdr>
            <w:top w:val="none" w:sz="0" w:space="0" w:color="auto"/>
            <w:left w:val="none" w:sz="0" w:space="0" w:color="auto"/>
            <w:bottom w:val="none" w:sz="0" w:space="0" w:color="auto"/>
            <w:right w:val="none" w:sz="0" w:space="0" w:color="auto"/>
          </w:divBdr>
        </w:div>
        <w:div w:id="1884556703">
          <w:marLeft w:val="446"/>
          <w:marRight w:val="0"/>
          <w:marTop w:val="0"/>
          <w:marBottom w:val="0"/>
          <w:divBdr>
            <w:top w:val="none" w:sz="0" w:space="0" w:color="auto"/>
            <w:left w:val="none" w:sz="0" w:space="0" w:color="auto"/>
            <w:bottom w:val="none" w:sz="0" w:space="0" w:color="auto"/>
            <w:right w:val="none" w:sz="0" w:space="0" w:color="auto"/>
          </w:divBdr>
        </w:div>
      </w:divsChild>
    </w:div>
    <w:div w:id="720786391">
      <w:bodyDiv w:val="1"/>
      <w:marLeft w:val="0"/>
      <w:marRight w:val="0"/>
      <w:marTop w:val="0"/>
      <w:marBottom w:val="0"/>
      <w:divBdr>
        <w:top w:val="none" w:sz="0" w:space="0" w:color="auto"/>
        <w:left w:val="none" w:sz="0" w:space="0" w:color="auto"/>
        <w:bottom w:val="none" w:sz="0" w:space="0" w:color="auto"/>
        <w:right w:val="none" w:sz="0" w:space="0" w:color="auto"/>
      </w:divBdr>
      <w:divsChild>
        <w:div w:id="103307264">
          <w:marLeft w:val="446"/>
          <w:marRight w:val="0"/>
          <w:marTop w:val="0"/>
          <w:marBottom w:val="0"/>
          <w:divBdr>
            <w:top w:val="none" w:sz="0" w:space="0" w:color="auto"/>
            <w:left w:val="none" w:sz="0" w:space="0" w:color="auto"/>
            <w:bottom w:val="none" w:sz="0" w:space="0" w:color="auto"/>
            <w:right w:val="none" w:sz="0" w:space="0" w:color="auto"/>
          </w:divBdr>
        </w:div>
        <w:div w:id="381448811">
          <w:marLeft w:val="446"/>
          <w:marRight w:val="0"/>
          <w:marTop w:val="0"/>
          <w:marBottom w:val="0"/>
          <w:divBdr>
            <w:top w:val="none" w:sz="0" w:space="0" w:color="auto"/>
            <w:left w:val="none" w:sz="0" w:space="0" w:color="auto"/>
            <w:bottom w:val="none" w:sz="0" w:space="0" w:color="auto"/>
            <w:right w:val="none" w:sz="0" w:space="0" w:color="auto"/>
          </w:divBdr>
        </w:div>
        <w:div w:id="1006514837">
          <w:marLeft w:val="446"/>
          <w:marRight w:val="0"/>
          <w:marTop w:val="0"/>
          <w:marBottom w:val="0"/>
          <w:divBdr>
            <w:top w:val="none" w:sz="0" w:space="0" w:color="auto"/>
            <w:left w:val="none" w:sz="0" w:space="0" w:color="auto"/>
            <w:bottom w:val="none" w:sz="0" w:space="0" w:color="auto"/>
            <w:right w:val="none" w:sz="0" w:space="0" w:color="auto"/>
          </w:divBdr>
        </w:div>
        <w:div w:id="1467968994">
          <w:marLeft w:val="446"/>
          <w:marRight w:val="0"/>
          <w:marTop w:val="0"/>
          <w:marBottom w:val="0"/>
          <w:divBdr>
            <w:top w:val="none" w:sz="0" w:space="0" w:color="auto"/>
            <w:left w:val="none" w:sz="0" w:space="0" w:color="auto"/>
            <w:bottom w:val="none" w:sz="0" w:space="0" w:color="auto"/>
            <w:right w:val="none" w:sz="0" w:space="0" w:color="auto"/>
          </w:divBdr>
        </w:div>
        <w:div w:id="1741826010">
          <w:marLeft w:val="446"/>
          <w:marRight w:val="0"/>
          <w:marTop w:val="0"/>
          <w:marBottom w:val="0"/>
          <w:divBdr>
            <w:top w:val="none" w:sz="0" w:space="0" w:color="auto"/>
            <w:left w:val="none" w:sz="0" w:space="0" w:color="auto"/>
            <w:bottom w:val="none" w:sz="0" w:space="0" w:color="auto"/>
            <w:right w:val="none" w:sz="0" w:space="0" w:color="auto"/>
          </w:divBdr>
        </w:div>
      </w:divsChild>
    </w:div>
    <w:div w:id="736781034">
      <w:bodyDiv w:val="1"/>
      <w:marLeft w:val="0"/>
      <w:marRight w:val="0"/>
      <w:marTop w:val="0"/>
      <w:marBottom w:val="0"/>
      <w:divBdr>
        <w:top w:val="none" w:sz="0" w:space="0" w:color="auto"/>
        <w:left w:val="none" w:sz="0" w:space="0" w:color="auto"/>
        <w:bottom w:val="none" w:sz="0" w:space="0" w:color="auto"/>
        <w:right w:val="none" w:sz="0" w:space="0" w:color="auto"/>
      </w:divBdr>
    </w:div>
    <w:div w:id="767502282">
      <w:bodyDiv w:val="1"/>
      <w:marLeft w:val="0"/>
      <w:marRight w:val="0"/>
      <w:marTop w:val="0"/>
      <w:marBottom w:val="0"/>
      <w:divBdr>
        <w:top w:val="none" w:sz="0" w:space="0" w:color="auto"/>
        <w:left w:val="none" w:sz="0" w:space="0" w:color="auto"/>
        <w:bottom w:val="none" w:sz="0" w:space="0" w:color="auto"/>
        <w:right w:val="none" w:sz="0" w:space="0" w:color="auto"/>
      </w:divBdr>
    </w:div>
    <w:div w:id="770514394">
      <w:bodyDiv w:val="1"/>
      <w:marLeft w:val="0"/>
      <w:marRight w:val="0"/>
      <w:marTop w:val="0"/>
      <w:marBottom w:val="0"/>
      <w:divBdr>
        <w:top w:val="none" w:sz="0" w:space="0" w:color="auto"/>
        <w:left w:val="none" w:sz="0" w:space="0" w:color="auto"/>
        <w:bottom w:val="none" w:sz="0" w:space="0" w:color="auto"/>
        <w:right w:val="none" w:sz="0" w:space="0" w:color="auto"/>
      </w:divBdr>
      <w:divsChild>
        <w:div w:id="85000590">
          <w:marLeft w:val="1267"/>
          <w:marRight w:val="0"/>
          <w:marTop w:val="96"/>
          <w:marBottom w:val="0"/>
          <w:divBdr>
            <w:top w:val="none" w:sz="0" w:space="0" w:color="auto"/>
            <w:left w:val="none" w:sz="0" w:space="0" w:color="auto"/>
            <w:bottom w:val="none" w:sz="0" w:space="0" w:color="auto"/>
            <w:right w:val="none" w:sz="0" w:space="0" w:color="auto"/>
          </w:divBdr>
        </w:div>
        <w:div w:id="1447702481">
          <w:marLeft w:val="1267"/>
          <w:marRight w:val="0"/>
          <w:marTop w:val="96"/>
          <w:marBottom w:val="0"/>
          <w:divBdr>
            <w:top w:val="none" w:sz="0" w:space="0" w:color="auto"/>
            <w:left w:val="none" w:sz="0" w:space="0" w:color="auto"/>
            <w:bottom w:val="none" w:sz="0" w:space="0" w:color="auto"/>
            <w:right w:val="none" w:sz="0" w:space="0" w:color="auto"/>
          </w:divBdr>
        </w:div>
        <w:div w:id="1648365409">
          <w:marLeft w:val="1267"/>
          <w:marRight w:val="0"/>
          <w:marTop w:val="96"/>
          <w:marBottom w:val="0"/>
          <w:divBdr>
            <w:top w:val="none" w:sz="0" w:space="0" w:color="auto"/>
            <w:left w:val="none" w:sz="0" w:space="0" w:color="auto"/>
            <w:bottom w:val="none" w:sz="0" w:space="0" w:color="auto"/>
            <w:right w:val="none" w:sz="0" w:space="0" w:color="auto"/>
          </w:divBdr>
        </w:div>
      </w:divsChild>
    </w:div>
    <w:div w:id="801925381">
      <w:bodyDiv w:val="1"/>
      <w:marLeft w:val="0"/>
      <w:marRight w:val="0"/>
      <w:marTop w:val="0"/>
      <w:marBottom w:val="0"/>
      <w:divBdr>
        <w:top w:val="none" w:sz="0" w:space="0" w:color="auto"/>
        <w:left w:val="none" w:sz="0" w:space="0" w:color="auto"/>
        <w:bottom w:val="none" w:sz="0" w:space="0" w:color="auto"/>
        <w:right w:val="none" w:sz="0" w:space="0" w:color="auto"/>
      </w:divBdr>
    </w:div>
    <w:div w:id="804395575">
      <w:bodyDiv w:val="1"/>
      <w:marLeft w:val="0"/>
      <w:marRight w:val="0"/>
      <w:marTop w:val="0"/>
      <w:marBottom w:val="0"/>
      <w:divBdr>
        <w:top w:val="none" w:sz="0" w:space="0" w:color="auto"/>
        <w:left w:val="none" w:sz="0" w:space="0" w:color="auto"/>
        <w:bottom w:val="none" w:sz="0" w:space="0" w:color="auto"/>
        <w:right w:val="none" w:sz="0" w:space="0" w:color="auto"/>
      </w:divBdr>
    </w:div>
    <w:div w:id="805319018">
      <w:bodyDiv w:val="1"/>
      <w:marLeft w:val="0"/>
      <w:marRight w:val="0"/>
      <w:marTop w:val="0"/>
      <w:marBottom w:val="0"/>
      <w:divBdr>
        <w:top w:val="none" w:sz="0" w:space="0" w:color="auto"/>
        <w:left w:val="none" w:sz="0" w:space="0" w:color="auto"/>
        <w:bottom w:val="none" w:sz="0" w:space="0" w:color="auto"/>
        <w:right w:val="none" w:sz="0" w:space="0" w:color="auto"/>
      </w:divBdr>
    </w:div>
    <w:div w:id="807551202">
      <w:bodyDiv w:val="1"/>
      <w:marLeft w:val="0"/>
      <w:marRight w:val="0"/>
      <w:marTop w:val="0"/>
      <w:marBottom w:val="0"/>
      <w:divBdr>
        <w:top w:val="none" w:sz="0" w:space="0" w:color="auto"/>
        <w:left w:val="none" w:sz="0" w:space="0" w:color="auto"/>
        <w:bottom w:val="none" w:sz="0" w:space="0" w:color="auto"/>
        <w:right w:val="none" w:sz="0" w:space="0" w:color="auto"/>
      </w:divBdr>
    </w:div>
    <w:div w:id="835728943">
      <w:bodyDiv w:val="1"/>
      <w:marLeft w:val="0"/>
      <w:marRight w:val="0"/>
      <w:marTop w:val="0"/>
      <w:marBottom w:val="0"/>
      <w:divBdr>
        <w:top w:val="none" w:sz="0" w:space="0" w:color="auto"/>
        <w:left w:val="none" w:sz="0" w:space="0" w:color="auto"/>
        <w:bottom w:val="none" w:sz="0" w:space="0" w:color="auto"/>
        <w:right w:val="none" w:sz="0" w:space="0" w:color="auto"/>
      </w:divBdr>
    </w:div>
    <w:div w:id="839152412">
      <w:bodyDiv w:val="1"/>
      <w:marLeft w:val="0"/>
      <w:marRight w:val="0"/>
      <w:marTop w:val="0"/>
      <w:marBottom w:val="0"/>
      <w:divBdr>
        <w:top w:val="none" w:sz="0" w:space="0" w:color="auto"/>
        <w:left w:val="none" w:sz="0" w:space="0" w:color="auto"/>
        <w:bottom w:val="none" w:sz="0" w:space="0" w:color="auto"/>
        <w:right w:val="none" w:sz="0" w:space="0" w:color="auto"/>
      </w:divBdr>
    </w:div>
    <w:div w:id="855533596">
      <w:bodyDiv w:val="1"/>
      <w:marLeft w:val="0"/>
      <w:marRight w:val="0"/>
      <w:marTop w:val="0"/>
      <w:marBottom w:val="0"/>
      <w:divBdr>
        <w:top w:val="none" w:sz="0" w:space="0" w:color="auto"/>
        <w:left w:val="none" w:sz="0" w:space="0" w:color="auto"/>
        <w:bottom w:val="none" w:sz="0" w:space="0" w:color="auto"/>
        <w:right w:val="none" w:sz="0" w:space="0" w:color="auto"/>
      </w:divBdr>
    </w:div>
    <w:div w:id="861361424">
      <w:bodyDiv w:val="1"/>
      <w:marLeft w:val="0"/>
      <w:marRight w:val="0"/>
      <w:marTop w:val="0"/>
      <w:marBottom w:val="0"/>
      <w:divBdr>
        <w:top w:val="none" w:sz="0" w:space="0" w:color="auto"/>
        <w:left w:val="none" w:sz="0" w:space="0" w:color="auto"/>
        <w:bottom w:val="none" w:sz="0" w:space="0" w:color="auto"/>
        <w:right w:val="none" w:sz="0" w:space="0" w:color="auto"/>
      </w:divBdr>
    </w:div>
    <w:div w:id="868883252">
      <w:bodyDiv w:val="1"/>
      <w:marLeft w:val="0"/>
      <w:marRight w:val="0"/>
      <w:marTop w:val="0"/>
      <w:marBottom w:val="0"/>
      <w:divBdr>
        <w:top w:val="none" w:sz="0" w:space="0" w:color="auto"/>
        <w:left w:val="none" w:sz="0" w:space="0" w:color="auto"/>
        <w:bottom w:val="none" w:sz="0" w:space="0" w:color="auto"/>
        <w:right w:val="none" w:sz="0" w:space="0" w:color="auto"/>
      </w:divBdr>
    </w:div>
    <w:div w:id="919677565">
      <w:bodyDiv w:val="1"/>
      <w:marLeft w:val="0"/>
      <w:marRight w:val="0"/>
      <w:marTop w:val="0"/>
      <w:marBottom w:val="0"/>
      <w:divBdr>
        <w:top w:val="none" w:sz="0" w:space="0" w:color="auto"/>
        <w:left w:val="none" w:sz="0" w:space="0" w:color="auto"/>
        <w:bottom w:val="none" w:sz="0" w:space="0" w:color="auto"/>
        <w:right w:val="none" w:sz="0" w:space="0" w:color="auto"/>
      </w:divBdr>
    </w:div>
    <w:div w:id="932006755">
      <w:bodyDiv w:val="1"/>
      <w:marLeft w:val="0"/>
      <w:marRight w:val="0"/>
      <w:marTop w:val="0"/>
      <w:marBottom w:val="0"/>
      <w:divBdr>
        <w:top w:val="none" w:sz="0" w:space="0" w:color="auto"/>
        <w:left w:val="none" w:sz="0" w:space="0" w:color="auto"/>
        <w:bottom w:val="none" w:sz="0" w:space="0" w:color="auto"/>
        <w:right w:val="none" w:sz="0" w:space="0" w:color="auto"/>
      </w:divBdr>
      <w:divsChild>
        <w:div w:id="1727601070">
          <w:marLeft w:val="446"/>
          <w:marRight w:val="0"/>
          <w:marTop w:val="0"/>
          <w:marBottom w:val="0"/>
          <w:divBdr>
            <w:top w:val="none" w:sz="0" w:space="0" w:color="auto"/>
            <w:left w:val="none" w:sz="0" w:space="0" w:color="auto"/>
            <w:bottom w:val="none" w:sz="0" w:space="0" w:color="auto"/>
            <w:right w:val="none" w:sz="0" w:space="0" w:color="auto"/>
          </w:divBdr>
        </w:div>
      </w:divsChild>
    </w:div>
    <w:div w:id="949314476">
      <w:bodyDiv w:val="1"/>
      <w:marLeft w:val="0"/>
      <w:marRight w:val="0"/>
      <w:marTop w:val="0"/>
      <w:marBottom w:val="0"/>
      <w:divBdr>
        <w:top w:val="none" w:sz="0" w:space="0" w:color="auto"/>
        <w:left w:val="none" w:sz="0" w:space="0" w:color="auto"/>
        <w:bottom w:val="none" w:sz="0" w:space="0" w:color="auto"/>
        <w:right w:val="none" w:sz="0" w:space="0" w:color="auto"/>
      </w:divBdr>
    </w:div>
    <w:div w:id="1008408527">
      <w:bodyDiv w:val="1"/>
      <w:marLeft w:val="0"/>
      <w:marRight w:val="0"/>
      <w:marTop w:val="0"/>
      <w:marBottom w:val="0"/>
      <w:divBdr>
        <w:top w:val="none" w:sz="0" w:space="0" w:color="auto"/>
        <w:left w:val="none" w:sz="0" w:space="0" w:color="auto"/>
        <w:bottom w:val="none" w:sz="0" w:space="0" w:color="auto"/>
        <w:right w:val="none" w:sz="0" w:space="0" w:color="auto"/>
      </w:divBdr>
    </w:div>
    <w:div w:id="1027410902">
      <w:bodyDiv w:val="1"/>
      <w:marLeft w:val="0"/>
      <w:marRight w:val="0"/>
      <w:marTop w:val="0"/>
      <w:marBottom w:val="0"/>
      <w:divBdr>
        <w:top w:val="none" w:sz="0" w:space="0" w:color="auto"/>
        <w:left w:val="none" w:sz="0" w:space="0" w:color="auto"/>
        <w:bottom w:val="none" w:sz="0" w:space="0" w:color="auto"/>
        <w:right w:val="none" w:sz="0" w:space="0" w:color="auto"/>
      </w:divBdr>
      <w:divsChild>
        <w:div w:id="12345530">
          <w:marLeft w:val="547"/>
          <w:marRight w:val="0"/>
          <w:marTop w:val="0"/>
          <w:marBottom w:val="0"/>
          <w:divBdr>
            <w:top w:val="none" w:sz="0" w:space="0" w:color="auto"/>
            <w:left w:val="none" w:sz="0" w:space="0" w:color="auto"/>
            <w:bottom w:val="none" w:sz="0" w:space="0" w:color="auto"/>
            <w:right w:val="none" w:sz="0" w:space="0" w:color="auto"/>
          </w:divBdr>
        </w:div>
      </w:divsChild>
    </w:div>
    <w:div w:id="1058241681">
      <w:bodyDiv w:val="1"/>
      <w:marLeft w:val="0"/>
      <w:marRight w:val="0"/>
      <w:marTop w:val="0"/>
      <w:marBottom w:val="0"/>
      <w:divBdr>
        <w:top w:val="none" w:sz="0" w:space="0" w:color="auto"/>
        <w:left w:val="none" w:sz="0" w:space="0" w:color="auto"/>
        <w:bottom w:val="none" w:sz="0" w:space="0" w:color="auto"/>
        <w:right w:val="none" w:sz="0" w:space="0" w:color="auto"/>
      </w:divBdr>
      <w:divsChild>
        <w:div w:id="1465611407">
          <w:marLeft w:val="446"/>
          <w:marRight w:val="0"/>
          <w:marTop w:val="0"/>
          <w:marBottom w:val="0"/>
          <w:divBdr>
            <w:top w:val="none" w:sz="0" w:space="0" w:color="auto"/>
            <w:left w:val="none" w:sz="0" w:space="0" w:color="auto"/>
            <w:bottom w:val="none" w:sz="0" w:space="0" w:color="auto"/>
            <w:right w:val="none" w:sz="0" w:space="0" w:color="auto"/>
          </w:divBdr>
        </w:div>
      </w:divsChild>
    </w:div>
    <w:div w:id="1070616752">
      <w:bodyDiv w:val="1"/>
      <w:marLeft w:val="0"/>
      <w:marRight w:val="0"/>
      <w:marTop w:val="0"/>
      <w:marBottom w:val="0"/>
      <w:divBdr>
        <w:top w:val="none" w:sz="0" w:space="0" w:color="auto"/>
        <w:left w:val="none" w:sz="0" w:space="0" w:color="auto"/>
        <w:bottom w:val="none" w:sz="0" w:space="0" w:color="auto"/>
        <w:right w:val="none" w:sz="0" w:space="0" w:color="auto"/>
      </w:divBdr>
    </w:div>
    <w:div w:id="1070617828">
      <w:bodyDiv w:val="1"/>
      <w:marLeft w:val="0"/>
      <w:marRight w:val="0"/>
      <w:marTop w:val="0"/>
      <w:marBottom w:val="0"/>
      <w:divBdr>
        <w:top w:val="none" w:sz="0" w:space="0" w:color="auto"/>
        <w:left w:val="none" w:sz="0" w:space="0" w:color="auto"/>
        <w:bottom w:val="none" w:sz="0" w:space="0" w:color="auto"/>
        <w:right w:val="none" w:sz="0" w:space="0" w:color="auto"/>
      </w:divBdr>
    </w:div>
    <w:div w:id="1085613491">
      <w:bodyDiv w:val="1"/>
      <w:marLeft w:val="0"/>
      <w:marRight w:val="0"/>
      <w:marTop w:val="0"/>
      <w:marBottom w:val="0"/>
      <w:divBdr>
        <w:top w:val="none" w:sz="0" w:space="0" w:color="auto"/>
        <w:left w:val="none" w:sz="0" w:space="0" w:color="auto"/>
        <w:bottom w:val="none" w:sz="0" w:space="0" w:color="auto"/>
        <w:right w:val="none" w:sz="0" w:space="0" w:color="auto"/>
      </w:divBdr>
    </w:div>
    <w:div w:id="1093237874">
      <w:bodyDiv w:val="1"/>
      <w:marLeft w:val="0"/>
      <w:marRight w:val="0"/>
      <w:marTop w:val="0"/>
      <w:marBottom w:val="0"/>
      <w:divBdr>
        <w:top w:val="none" w:sz="0" w:space="0" w:color="auto"/>
        <w:left w:val="none" w:sz="0" w:space="0" w:color="auto"/>
        <w:bottom w:val="none" w:sz="0" w:space="0" w:color="auto"/>
        <w:right w:val="none" w:sz="0" w:space="0" w:color="auto"/>
      </w:divBdr>
      <w:divsChild>
        <w:div w:id="571550201">
          <w:marLeft w:val="446"/>
          <w:marRight w:val="0"/>
          <w:marTop w:val="0"/>
          <w:marBottom w:val="0"/>
          <w:divBdr>
            <w:top w:val="none" w:sz="0" w:space="0" w:color="auto"/>
            <w:left w:val="none" w:sz="0" w:space="0" w:color="auto"/>
            <w:bottom w:val="none" w:sz="0" w:space="0" w:color="auto"/>
            <w:right w:val="none" w:sz="0" w:space="0" w:color="auto"/>
          </w:divBdr>
        </w:div>
      </w:divsChild>
    </w:div>
    <w:div w:id="1097365046">
      <w:bodyDiv w:val="1"/>
      <w:marLeft w:val="0"/>
      <w:marRight w:val="0"/>
      <w:marTop w:val="0"/>
      <w:marBottom w:val="0"/>
      <w:divBdr>
        <w:top w:val="none" w:sz="0" w:space="0" w:color="auto"/>
        <w:left w:val="none" w:sz="0" w:space="0" w:color="auto"/>
        <w:bottom w:val="none" w:sz="0" w:space="0" w:color="auto"/>
        <w:right w:val="none" w:sz="0" w:space="0" w:color="auto"/>
      </w:divBdr>
    </w:div>
    <w:div w:id="1102456424">
      <w:bodyDiv w:val="1"/>
      <w:marLeft w:val="0"/>
      <w:marRight w:val="0"/>
      <w:marTop w:val="0"/>
      <w:marBottom w:val="0"/>
      <w:divBdr>
        <w:top w:val="none" w:sz="0" w:space="0" w:color="auto"/>
        <w:left w:val="none" w:sz="0" w:space="0" w:color="auto"/>
        <w:bottom w:val="none" w:sz="0" w:space="0" w:color="auto"/>
        <w:right w:val="none" w:sz="0" w:space="0" w:color="auto"/>
      </w:divBdr>
      <w:divsChild>
        <w:div w:id="1616985361">
          <w:marLeft w:val="806"/>
          <w:marRight w:val="0"/>
          <w:marTop w:val="125"/>
          <w:marBottom w:val="0"/>
          <w:divBdr>
            <w:top w:val="none" w:sz="0" w:space="0" w:color="auto"/>
            <w:left w:val="none" w:sz="0" w:space="0" w:color="auto"/>
            <w:bottom w:val="none" w:sz="0" w:space="0" w:color="auto"/>
            <w:right w:val="none" w:sz="0" w:space="0" w:color="auto"/>
          </w:divBdr>
        </w:div>
      </w:divsChild>
    </w:div>
    <w:div w:id="1123233229">
      <w:bodyDiv w:val="1"/>
      <w:marLeft w:val="0"/>
      <w:marRight w:val="0"/>
      <w:marTop w:val="0"/>
      <w:marBottom w:val="0"/>
      <w:divBdr>
        <w:top w:val="none" w:sz="0" w:space="0" w:color="auto"/>
        <w:left w:val="none" w:sz="0" w:space="0" w:color="auto"/>
        <w:bottom w:val="none" w:sz="0" w:space="0" w:color="auto"/>
        <w:right w:val="none" w:sz="0" w:space="0" w:color="auto"/>
      </w:divBdr>
    </w:div>
    <w:div w:id="1147866706">
      <w:bodyDiv w:val="1"/>
      <w:marLeft w:val="0"/>
      <w:marRight w:val="0"/>
      <w:marTop w:val="0"/>
      <w:marBottom w:val="0"/>
      <w:divBdr>
        <w:top w:val="none" w:sz="0" w:space="0" w:color="auto"/>
        <w:left w:val="none" w:sz="0" w:space="0" w:color="auto"/>
        <w:bottom w:val="none" w:sz="0" w:space="0" w:color="auto"/>
        <w:right w:val="none" w:sz="0" w:space="0" w:color="auto"/>
      </w:divBdr>
    </w:div>
    <w:div w:id="1177841700">
      <w:bodyDiv w:val="1"/>
      <w:marLeft w:val="0"/>
      <w:marRight w:val="0"/>
      <w:marTop w:val="0"/>
      <w:marBottom w:val="0"/>
      <w:divBdr>
        <w:top w:val="none" w:sz="0" w:space="0" w:color="auto"/>
        <w:left w:val="none" w:sz="0" w:space="0" w:color="auto"/>
        <w:bottom w:val="none" w:sz="0" w:space="0" w:color="auto"/>
        <w:right w:val="none" w:sz="0" w:space="0" w:color="auto"/>
      </w:divBdr>
    </w:div>
    <w:div w:id="1185436374">
      <w:bodyDiv w:val="1"/>
      <w:marLeft w:val="0"/>
      <w:marRight w:val="0"/>
      <w:marTop w:val="0"/>
      <w:marBottom w:val="0"/>
      <w:divBdr>
        <w:top w:val="none" w:sz="0" w:space="0" w:color="auto"/>
        <w:left w:val="none" w:sz="0" w:space="0" w:color="auto"/>
        <w:bottom w:val="none" w:sz="0" w:space="0" w:color="auto"/>
        <w:right w:val="none" w:sz="0" w:space="0" w:color="auto"/>
      </w:divBdr>
    </w:div>
    <w:div w:id="1199051540">
      <w:bodyDiv w:val="1"/>
      <w:marLeft w:val="0"/>
      <w:marRight w:val="0"/>
      <w:marTop w:val="0"/>
      <w:marBottom w:val="0"/>
      <w:divBdr>
        <w:top w:val="none" w:sz="0" w:space="0" w:color="auto"/>
        <w:left w:val="none" w:sz="0" w:space="0" w:color="auto"/>
        <w:bottom w:val="none" w:sz="0" w:space="0" w:color="auto"/>
        <w:right w:val="none" w:sz="0" w:space="0" w:color="auto"/>
      </w:divBdr>
    </w:div>
    <w:div w:id="1207840540">
      <w:bodyDiv w:val="1"/>
      <w:marLeft w:val="0"/>
      <w:marRight w:val="0"/>
      <w:marTop w:val="0"/>
      <w:marBottom w:val="0"/>
      <w:divBdr>
        <w:top w:val="none" w:sz="0" w:space="0" w:color="auto"/>
        <w:left w:val="none" w:sz="0" w:space="0" w:color="auto"/>
        <w:bottom w:val="none" w:sz="0" w:space="0" w:color="auto"/>
        <w:right w:val="none" w:sz="0" w:space="0" w:color="auto"/>
      </w:divBdr>
    </w:div>
    <w:div w:id="1238591496">
      <w:bodyDiv w:val="1"/>
      <w:marLeft w:val="0"/>
      <w:marRight w:val="0"/>
      <w:marTop w:val="0"/>
      <w:marBottom w:val="0"/>
      <w:divBdr>
        <w:top w:val="none" w:sz="0" w:space="0" w:color="auto"/>
        <w:left w:val="none" w:sz="0" w:space="0" w:color="auto"/>
        <w:bottom w:val="none" w:sz="0" w:space="0" w:color="auto"/>
        <w:right w:val="none" w:sz="0" w:space="0" w:color="auto"/>
      </w:divBdr>
    </w:div>
    <w:div w:id="1334603748">
      <w:bodyDiv w:val="1"/>
      <w:marLeft w:val="0"/>
      <w:marRight w:val="0"/>
      <w:marTop w:val="0"/>
      <w:marBottom w:val="0"/>
      <w:divBdr>
        <w:top w:val="none" w:sz="0" w:space="0" w:color="auto"/>
        <w:left w:val="none" w:sz="0" w:space="0" w:color="auto"/>
        <w:bottom w:val="none" w:sz="0" w:space="0" w:color="auto"/>
        <w:right w:val="none" w:sz="0" w:space="0" w:color="auto"/>
      </w:divBdr>
    </w:div>
    <w:div w:id="1343318829">
      <w:bodyDiv w:val="1"/>
      <w:marLeft w:val="0"/>
      <w:marRight w:val="0"/>
      <w:marTop w:val="0"/>
      <w:marBottom w:val="0"/>
      <w:divBdr>
        <w:top w:val="none" w:sz="0" w:space="0" w:color="auto"/>
        <w:left w:val="none" w:sz="0" w:space="0" w:color="auto"/>
        <w:bottom w:val="none" w:sz="0" w:space="0" w:color="auto"/>
        <w:right w:val="none" w:sz="0" w:space="0" w:color="auto"/>
      </w:divBdr>
    </w:div>
    <w:div w:id="1345284407">
      <w:bodyDiv w:val="1"/>
      <w:marLeft w:val="0"/>
      <w:marRight w:val="0"/>
      <w:marTop w:val="0"/>
      <w:marBottom w:val="0"/>
      <w:divBdr>
        <w:top w:val="none" w:sz="0" w:space="0" w:color="auto"/>
        <w:left w:val="none" w:sz="0" w:space="0" w:color="auto"/>
        <w:bottom w:val="none" w:sz="0" w:space="0" w:color="auto"/>
        <w:right w:val="none" w:sz="0" w:space="0" w:color="auto"/>
      </w:divBdr>
    </w:div>
    <w:div w:id="1368023496">
      <w:bodyDiv w:val="1"/>
      <w:marLeft w:val="0"/>
      <w:marRight w:val="0"/>
      <w:marTop w:val="0"/>
      <w:marBottom w:val="0"/>
      <w:divBdr>
        <w:top w:val="none" w:sz="0" w:space="0" w:color="auto"/>
        <w:left w:val="none" w:sz="0" w:space="0" w:color="auto"/>
        <w:bottom w:val="none" w:sz="0" w:space="0" w:color="auto"/>
        <w:right w:val="none" w:sz="0" w:space="0" w:color="auto"/>
      </w:divBdr>
      <w:divsChild>
        <w:div w:id="197355986">
          <w:marLeft w:val="547"/>
          <w:marRight w:val="0"/>
          <w:marTop w:val="0"/>
          <w:marBottom w:val="0"/>
          <w:divBdr>
            <w:top w:val="none" w:sz="0" w:space="0" w:color="auto"/>
            <w:left w:val="none" w:sz="0" w:space="0" w:color="auto"/>
            <w:bottom w:val="none" w:sz="0" w:space="0" w:color="auto"/>
            <w:right w:val="none" w:sz="0" w:space="0" w:color="auto"/>
          </w:divBdr>
        </w:div>
      </w:divsChild>
    </w:div>
    <w:div w:id="1375349104">
      <w:bodyDiv w:val="1"/>
      <w:marLeft w:val="0"/>
      <w:marRight w:val="0"/>
      <w:marTop w:val="0"/>
      <w:marBottom w:val="0"/>
      <w:divBdr>
        <w:top w:val="none" w:sz="0" w:space="0" w:color="auto"/>
        <w:left w:val="none" w:sz="0" w:space="0" w:color="auto"/>
        <w:bottom w:val="none" w:sz="0" w:space="0" w:color="auto"/>
        <w:right w:val="none" w:sz="0" w:space="0" w:color="auto"/>
      </w:divBdr>
    </w:div>
    <w:div w:id="1403333827">
      <w:bodyDiv w:val="1"/>
      <w:marLeft w:val="0"/>
      <w:marRight w:val="0"/>
      <w:marTop w:val="0"/>
      <w:marBottom w:val="0"/>
      <w:divBdr>
        <w:top w:val="none" w:sz="0" w:space="0" w:color="auto"/>
        <w:left w:val="none" w:sz="0" w:space="0" w:color="auto"/>
        <w:bottom w:val="none" w:sz="0" w:space="0" w:color="auto"/>
        <w:right w:val="none" w:sz="0" w:space="0" w:color="auto"/>
      </w:divBdr>
    </w:div>
    <w:div w:id="1422601559">
      <w:bodyDiv w:val="1"/>
      <w:marLeft w:val="0"/>
      <w:marRight w:val="0"/>
      <w:marTop w:val="0"/>
      <w:marBottom w:val="0"/>
      <w:divBdr>
        <w:top w:val="none" w:sz="0" w:space="0" w:color="auto"/>
        <w:left w:val="none" w:sz="0" w:space="0" w:color="auto"/>
        <w:bottom w:val="none" w:sz="0" w:space="0" w:color="auto"/>
        <w:right w:val="none" w:sz="0" w:space="0" w:color="auto"/>
      </w:divBdr>
    </w:div>
    <w:div w:id="1423188774">
      <w:bodyDiv w:val="1"/>
      <w:marLeft w:val="0"/>
      <w:marRight w:val="0"/>
      <w:marTop w:val="0"/>
      <w:marBottom w:val="0"/>
      <w:divBdr>
        <w:top w:val="none" w:sz="0" w:space="0" w:color="auto"/>
        <w:left w:val="none" w:sz="0" w:space="0" w:color="auto"/>
        <w:bottom w:val="none" w:sz="0" w:space="0" w:color="auto"/>
        <w:right w:val="none" w:sz="0" w:space="0" w:color="auto"/>
      </w:divBdr>
      <w:divsChild>
        <w:div w:id="96219804">
          <w:marLeft w:val="446"/>
          <w:marRight w:val="0"/>
          <w:marTop w:val="0"/>
          <w:marBottom w:val="0"/>
          <w:divBdr>
            <w:top w:val="none" w:sz="0" w:space="0" w:color="auto"/>
            <w:left w:val="none" w:sz="0" w:space="0" w:color="auto"/>
            <w:bottom w:val="none" w:sz="0" w:space="0" w:color="auto"/>
            <w:right w:val="none" w:sz="0" w:space="0" w:color="auto"/>
          </w:divBdr>
        </w:div>
        <w:div w:id="1038815347">
          <w:marLeft w:val="446"/>
          <w:marRight w:val="0"/>
          <w:marTop w:val="0"/>
          <w:marBottom w:val="0"/>
          <w:divBdr>
            <w:top w:val="none" w:sz="0" w:space="0" w:color="auto"/>
            <w:left w:val="none" w:sz="0" w:space="0" w:color="auto"/>
            <w:bottom w:val="none" w:sz="0" w:space="0" w:color="auto"/>
            <w:right w:val="none" w:sz="0" w:space="0" w:color="auto"/>
          </w:divBdr>
        </w:div>
        <w:div w:id="1775633539">
          <w:marLeft w:val="446"/>
          <w:marRight w:val="0"/>
          <w:marTop w:val="0"/>
          <w:marBottom w:val="0"/>
          <w:divBdr>
            <w:top w:val="none" w:sz="0" w:space="0" w:color="auto"/>
            <w:left w:val="none" w:sz="0" w:space="0" w:color="auto"/>
            <w:bottom w:val="none" w:sz="0" w:space="0" w:color="auto"/>
            <w:right w:val="none" w:sz="0" w:space="0" w:color="auto"/>
          </w:divBdr>
        </w:div>
      </w:divsChild>
    </w:div>
    <w:div w:id="1432892114">
      <w:bodyDiv w:val="1"/>
      <w:marLeft w:val="0"/>
      <w:marRight w:val="0"/>
      <w:marTop w:val="0"/>
      <w:marBottom w:val="0"/>
      <w:divBdr>
        <w:top w:val="none" w:sz="0" w:space="0" w:color="auto"/>
        <w:left w:val="none" w:sz="0" w:space="0" w:color="auto"/>
        <w:bottom w:val="none" w:sz="0" w:space="0" w:color="auto"/>
        <w:right w:val="none" w:sz="0" w:space="0" w:color="auto"/>
      </w:divBdr>
    </w:div>
    <w:div w:id="1479105507">
      <w:bodyDiv w:val="1"/>
      <w:marLeft w:val="0"/>
      <w:marRight w:val="0"/>
      <w:marTop w:val="0"/>
      <w:marBottom w:val="0"/>
      <w:divBdr>
        <w:top w:val="none" w:sz="0" w:space="0" w:color="auto"/>
        <w:left w:val="none" w:sz="0" w:space="0" w:color="auto"/>
        <w:bottom w:val="none" w:sz="0" w:space="0" w:color="auto"/>
        <w:right w:val="none" w:sz="0" w:space="0" w:color="auto"/>
      </w:divBdr>
    </w:div>
    <w:div w:id="1488397568">
      <w:bodyDiv w:val="1"/>
      <w:marLeft w:val="0"/>
      <w:marRight w:val="0"/>
      <w:marTop w:val="0"/>
      <w:marBottom w:val="0"/>
      <w:divBdr>
        <w:top w:val="none" w:sz="0" w:space="0" w:color="auto"/>
        <w:left w:val="none" w:sz="0" w:space="0" w:color="auto"/>
        <w:bottom w:val="none" w:sz="0" w:space="0" w:color="auto"/>
        <w:right w:val="none" w:sz="0" w:space="0" w:color="auto"/>
      </w:divBdr>
    </w:div>
    <w:div w:id="1493789877">
      <w:bodyDiv w:val="1"/>
      <w:marLeft w:val="0"/>
      <w:marRight w:val="0"/>
      <w:marTop w:val="0"/>
      <w:marBottom w:val="0"/>
      <w:divBdr>
        <w:top w:val="none" w:sz="0" w:space="0" w:color="auto"/>
        <w:left w:val="none" w:sz="0" w:space="0" w:color="auto"/>
        <w:bottom w:val="none" w:sz="0" w:space="0" w:color="auto"/>
        <w:right w:val="none" w:sz="0" w:space="0" w:color="auto"/>
      </w:divBdr>
    </w:div>
    <w:div w:id="1525824709">
      <w:bodyDiv w:val="1"/>
      <w:marLeft w:val="0"/>
      <w:marRight w:val="0"/>
      <w:marTop w:val="0"/>
      <w:marBottom w:val="0"/>
      <w:divBdr>
        <w:top w:val="none" w:sz="0" w:space="0" w:color="auto"/>
        <w:left w:val="none" w:sz="0" w:space="0" w:color="auto"/>
        <w:bottom w:val="none" w:sz="0" w:space="0" w:color="auto"/>
        <w:right w:val="none" w:sz="0" w:space="0" w:color="auto"/>
      </w:divBdr>
    </w:div>
    <w:div w:id="1536964700">
      <w:bodyDiv w:val="1"/>
      <w:marLeft w:val="0"/>
      <w:marRight w:val="0"/>
      <w:marTop w:val="0"/>
      <w:marBottom w:val="0"/>
      <w:divBdr>
        <w:top w:val="none" w:sz="0" w:space="0" w:color="auto"/>
        <w:left w:val="none" w:sz="0" w:space="0" w:color="auto"/>
        <w:bottom w:val="none" w:sz="0" w:space="0" w:color="auto"/>
        <w:right w:val="none" w:sz="0" w:space="0" w:color="auto"/>
      </w:divBdr>
    </w:div>
    <w:div w:id="1555776716">
      <w:bodyDiv w:val="1"/>
      <w:marLeft w:val="0"/>
      <w:marRight w:val="0"/>
      <w:marTop w:val="0"/>
      <w:marBottom w:val="0"/>
      <w:divBdr>
        <w:top w:val="none" w:sz="0" w:space="0" w:color="auto"/>
        <w:left w:val="none" w:sz="0" w:space="0" w:color="auto"/>
        <w:bottom w:val="none" w:sz="0" w:space="0" w:color="auto"/>
        <w:right w:val="none" w:sz="0" w:space="0" w:color="auto"/>
      </w:divBdr>
    </w:div>
    <w:div w:id="1595241988">
      <w:bodyDiv w:val="1"/>
      <w:marLeft w:val="0"/>
      <w:marRight w:val="0"/>
      <w:marTop w:val="0"/>
      <w:marBottom w:val="0"/>
      <w:divBdr>
        <w:top w:val="none" w:sz="0" w:space="0" w:color="auto"/>
        <w:left w:val="none" w:sz="0" w:space="0" w:color="auto"/>
        <w:bottom w:val="none" w:sz="0" w:space="0" w:color="auto"/>
        <w:right w:val="none" w:sz="0" w:space="0" w:color="auto"/>
      </w:divBdr>
    </w:div>
    <w:div w:id="1645499805">
      <w:bodyDiv w:val="1"/>
      <w:marLeft w:val="0"/>
      <w:marRight w:val="0"/>
      <w:marTop w:val="0"/>
      <w:marBottom w:val="0"/>
      <w:divBdr>
        <w:top w:val="none" w:sz="0" w:space="0" w:color="auto"/>
        <w:left w:val="none" w:sz="0" w:space="0" w:color="auto"/>
        <w:bottom w:val="none" w:sz="0" w:space="0" w:color="auto"/>
        <w:right w:val="none" w:sz="0" w:space="0" w:color="auto"/>
      </w:divBdr>
    </w:div>
    <w:div w:id="1648392561">
      <w:bodyDiv w:val="1"/>
      <w:marLeft w:val="0"/>
      <w:marRight w:val="0"/>
      <w:marTop w:val="0"/>
      <w:marBottom w:val="0"/>
      <w:divBdr>
        <w:top w:val="none" w:sz="0" w:space="0" w:color="auto"/>
        <w:left w:val="none" w:sz="0" w:space="0" w:color="auto"/>
        <w:bottom w:val="none" w:sz="0" w:space="0" w:color="auto"/>
        <w:right w:val="none" w:sz="0" w:space="0" w:color="auto"/>
      </w:divBdr>
      <w:divsChild>
        <w:div w:id="79064045">
          <w:marLeft w:val="1267"/>
          <w:marRight w:val="0"/>
          <w:marTop w:val="82"/>
          <w:marBottom w:val="0"/>
          <w:divBdr>
            <w:top w:val="none" w:sz="0" w:space="0" w:color="auto"/>
            <w:left w:val="none" w:sz="0" w:space="0" w:color="auto"/>
            <w:bottom w:val="none" w:sz="0" w:space="0" w:color="auto"/>
            <w:right w:val="none" w:sz="0" w:space="0" w:color="auto"/>
          </w:divBdr>
        </w:div>
        <w:div w:id="597298663">
          <w:marLeft w:val="1267"/>
          <w:marRight w:val="0"/>
          <w:marTop w:val="82"/>
          <w:marBottom w:val="0"/>
          <w:divBdr>
            <w:top w:val="none" w:sz="0" w:space="0" w:color="auto"/>
            <w:left w:val="none" w:sz="0" w:space="0" w:color="auto"/>
            <w:bottom w:val="none" w:sz="0" w:space="0" w:color="auto"/>
            <w:right w:val="none" w:sz="0" w:space="0" w:color="auto"/>
          </w:divBdr>
        </w:div>
        <w:div w:id="1470585961">
          <w:marLeft w:val="1267"/>
          <w:marRight w:val="0"/>
          <w:marTop w:val="82"/>
          <w:marBottom w:val="0"/>
          <w:divBdr>
            <w:top w:val="none" w:sz="0" w:space="0" w:color="auto"/>
            <w:left w:val="none" w:sz="0" w:space="0" w:color="auto"/>
            <w:bottom w:val="none" w:sz="0" w:space="0" w:color="auto"/>
            <w:right w:val="none" w:sz="0" w:space="0" w:color="auto"/>
          </w:divBdr>
        </w:div>
        <w:div w:id="1740978761">
          <w:marLeft w:val="1267"/>
          <w:marRight w:val="0"/>
          <w:marTop w:val="82"/>
          <w:marBottom w:val="0"/>
          <w:divBdr>
            <w:top w:val="none" w:sz="0" w:space="0" w:color="auto"/>
            <w:left w:val="none" w:sz="0" w:space="0" w:color="auto"/>
            <w:bottom w:val="none" w:sz="0" w:space="0" w:color="auto"/>
            <w:right w:val="none" w:sz="0" w:space="0" w:color="auto"/>
          </w:divBdr>
        </w:div>
      </w:divsChild>
    </w:div>
    <w:div w:id="1648583543">
      <w:bodyDiv w:val="1"/>
      <w:marLeft w:val="0"/>
      <w:marRight w:val="0"/>
      <w:marTop w:val="0"/>
      <w:marBottom w:val="0"/>
      <w:divBdr>
        <w:top w:val="none" w:sz="0" w:space="0" w:color="auto"/>
        <w:left w:val="none" w:sz="0" w:space="0" w:color="auto"/>
        <w:bottom w:val="none" w:sz="0" w:space="0" w:color="auto"/>
        <w:right w:val="none" w:sz="0" w:space="0" w:color="auto"/>
      </w:divBdr>
    </w:div>
    <w:div w:id="1650554615">
      <w:bodyDiv w:val="1"/>
      <w:marLeft w:val="0"/>
      <w:marRight w:val="0"/>
      <w:marTop w:val="0"/>
      <w:marBottom w:val="0"/>
      <w:divBdr>
        <w:top w:val="none" w:sz="0" w:space="0" w:color="auto"/>
        <w:left w:val="none" w:sz="0" w:space="0" w:color="auto"/>
        <w:bottom w:val="none" w:sz="0" w:space="0" w:color="auto"/>
        <w:right w:val="none" w:sz="0" w:space="0" w:color="auto"/>
      </w:divBdr>
      <w:divsChild>
        <w:div w:id="1324355487">
          <w:marLeft w:val="446"/>
          <w:marRight w:val="0"/>
          <w:marTop w:val="0"/>
          <w:marBottom w:val="0"/>
          <w:divBdr>
            <w:top w:val="none" w:sz="0" w:space="0" w:color="auto"/>
            <w:left w:val="none" w:sz="0" w:space="0" w:color="auto"/>
            <w:bottom w:val="none" w:sz="0" w:space="0" w:color="auto"/>
            <w:right w:val="none" w:sz="0" w:space="0" w:color="auto"/>
          </w:divBdr>
        </w:div>
      </w:divsChild>
    </w:div>
    <w:div w:id="1659066557">
      <w:bodyDiv w:val="1"/>
      <w:marLeft w:val="0"/>
      <w:marRight w:val="0"/>
      <w:marTop w:val="0"/>
      <w:marBottom w:val="0"/>
      <w:divBdr>
        <w:top w:val="none" w:sz="0" w:space="0" w:color="auto"/>
        <w:left w:val="none" w:sz="0" w:space="0" w:color="auto"/>
        <w:bottom w:val="none" w:sz="0" w:space="0" w:color="auto"/>
        <w:right w:val="none" w:sz="0" w:space="0" w:color="auto"/>
      </w:divBdr>
    </w:div>
    <w:div w:id="1664964969">
      <w:bodyDiv w:val="1"/>
      <w:marLeft w:val="0"/>
      <w:marRight w:val="0"/>
      <w:marTop w:val="0"/>
      <w:marBottom w:val="0"/>
      <w:divBdr>
        <w:top w:val="none" w:sz="0" w:space="0" w:color="auto"/>
        <w:left w:val="none" w:sz="0" w:space="0" w:color="auto"/>
        <w:bottom w:val="none" w:sz="0" w:space="0" w:color="auto"/>
        <w:right w:val="none" w:sz="0" w:space="0" w:color="auto"/>
      </w:divBdr>
    </w:div>
    <w:div w:id="1673144101">
      <w:bodyDiv w:val="1"/>
      <w:marLeft w:val="0"/>
      <w:marRight w:val="0"/>
      <w:marTop w:val="0"/>
      <w:marBottom w:val="0"/>
      <w:divBdr>
        <w:top w:val="none" w:sz="0" w:space="0" w:color="auto"/>
        <w:left w:val="none" w:sz="0" w:space="0" w:color="auto"/>
        <w:bottom w:val="none" w:sz="0" w:space="0" w:color="auto"/>
        <w:right w:val="none" w:sz="0" w:space="0" w:color="auto"/>
      </w:divBdr>
    </w:div>
    <w:div w:id="1700738922">
      <w:bodyDiv w:val="1"/>
      <w:marLeft w:val="0"/>
      <w:marRight w:val="0"/>
      <w:marTop w:val="0"/>
      <w:marBottom w:val="0"/>
      <w:divBdr>
        <w:top w:val="none" w:sz="0" w:space="0" w:color="auto"/>
        <w:left w:val="none" w:sz="0" w:space="0" w:color="auto"/>
        <w:bottom w:val="none" w:sz="0" w:space="0" w:color="auto"/>
        <w:right w:val="none" w:sz="0" w:space="0" w:color="auto"/>
      </w:divBdr>
    </w:div>
    <w:div w:id="1739009190">
      <w:bodyDiv w:val="1"/>
      <w:marLeft w:val="0"/>
      <w:marRight w:val="0"/>
      <w:marTop w:val="0"/>
      <w:marBottom w:val="0"/>
      <w:divBdr>
        <w:top w:val="none" w:sz="0" w:space="0" w:color="auto"/>
        <w:left w:val="none" w:sz="0" w:space="0" w:color="auto"/>
        <w:bottom w:val="none" w:sz="0" w:space="0" w:color="auto"/>
        <w:right w:val="none" w:sz="0" w:space="0" w:color="auto"/>
      </w:divBdr>
    </w:div>
    <w:div w:id="1747648686">
      <w:bodyDiv w:val="1"/>
      <w:marLeft w:val="0"/>
      <w:marRight w:val="0"/>
      <w:marTop w:val="0"/>
      <w:marBottom w:val="0"/>
      <w:divBdr>
        <w:top w:val="none" w:sz="0" w:space="0" w:color="auto"/>
        <w:left w:val="none" w:sz="0" w:space="0" w:color="auto"/>
        <w:bottom w:val="none" w:sz="0" w:space="0" w:color="auto"/>
        <w:right w:val="none" w:sz="0" w:space="0" w:color="auto"/>
      </w:divBdr>
    </w:div>
    <w:div w:id="1756240182">
      <w:bodyDiv w:val="1"/>
      <w:marLeft w:val="0"/>
      <w:marRight w:val="0"/>
      <w:marTop w:val="0"/>
      <w:marBottom w:val="0"/>
      <w:divBdr>
        <w:top w:val="none" w:sz="0" w:space="0" w:color="auto"/>
        <w:left w:val="none" w:sz="0" w:space="0" w:color="auto"/>
        <w:bottom w:val="none" w:sz="0" w:space="0" w:color="auto"/>
        <w:right w:val="none" w:sz="0" w:space="0" w:color="auto"/>
      </w:divBdr>
    </w:div>
    <w:div w:id="1797601857">
      <w:bodyDiv w:val="1"/>
      <w:marLeft w:val="0"/>
      <w:marRight w:val="0"/>
      <w:marTop w:val="0"/>
      <w:marBottom w:val="0"/>
      <w:divBdr>
        <w:top w:val="none" w:sz="0" w:space="0" w:color="auto"/>
        <w:left w:val="none" w:sz="0" w:space="0" w:color="auto"/>
        <w:bottom w:val="none" w:sz="0" w:space="0" w:color="auto"/>
        <w:right w:val="none" w:sz="0" w:space="0" w:color="auto"/>
      </w:divBdr>
    </w:div>
    <w:div w:id="1798840335">
      <w:bodyDiv w:val="1"/>
      <w:marLeft w:val="0"/>
      <w:marRight w:val="0"/>
      <w:marTop w:val="0"/>
      <w:marBottom w:val="0"/>
      <w:divBdr>
        <w:top w:val="none" w:sz="0" w:space="0" w:color="auto"/>
        <w:left w:val="none" w:sz="0" w:space="0" w:color="auto"/>
        <w:bottom w:val="none" w:sz="0" w:space="0" w:color="auto"/>
        <w:right w:val="none" w:sz="0" w:space="0" w:color="auto"/>
      </w:divBdr>
    </w:div>
    <w:div w:id="1812599216">
      <w:bodyDiv w:val="1"/>
      <w:marLeft w:val="0"/>
      <w:marRight w:val="0"/>
      <w:marTop w:val="0"/>
      <w:marBottom w:val="0"/>
      <w:divBdr>
        <w:top w:val="none" w:sz="0" w:space="0" w:color="auto"/>
        <w:left w:val="none" w:sz="0" w:space="0" w:color="auto"/>
        <w:bottom w:val="none" w:sz="0" w:space="0" w:color="auto"/>
        <w:right w:val="none" w:sz="0" w:space="0" w:color="auto"/>
      </w:divBdr>
      <w:divsChild>
        <w:div w:id="533931697">
          <w:marLeft w:val="1267"/>
          <w:marRight w:val="0"/>
          <w:marTop w:val="91"/>
          <w:marBottom w:val="0"/>
          <w:divBdr>
            <w:top w:val="none" w:sz="0" w:space="0" w:color="auto"/>
            <w:left w:val="none" w:sz="0" w:space="0" w:color="auto"/>
            <w:bottom w:val="none" w:sz="0" w:space="0" w:color="auto"/>
            <w:right w:val="none" w:sz="0" w:space="0" w:color="auto"/>
          </w:divBdr>
        </w:div>
        <w:div w:id="895776585">
          <w:marLeft w:val="1267"/>
          <w:marRight w:val="0"/>
          <w:marTop w:val="91"/>
          <w:marBottom w:val="0"/>
          <w:divBdr>
            <w:top w:val="none" w:sz="0" w:space="0" w:color="auto"/>
            <w:left w:val="none" w:sz="0" w:space="0" w:color="auto"/>
            <w:bottom w:val="none" w:sz="0" w:space="0" w:color="auto"/>
            <w:right w:val="none" w:sz="0" w:space="0" w:color="auto"/>
          </w:divBdr>
        </w:div>
        <w:div w:id="1380475699">
          <w:marLeft w:val="1267"/>
          <w:marRight w:val="0"/>
          <w:marTop w:val="91"/>
          <w:marBottom w:val="0"/>
          <w:divBdr>
            <w:top w:val="none" w:sz="0" w:space="0" w:color="auto"/>
            <w:left w:val="none" w:sz="0" w:space="0" w:color="auto"/>
            <w:bottom w:val="none" w:sz="0" w:space="0" w:color="auto"/>
            <w:right w:val="none" w:sz="0" w:space="0" w:color="auto"/>
          </w:divBdr>
        </w:div>
        <w:div w:id="1725105748">
          <w:marLeft w:val="1267"/>
          <w:marRight w:val="0"/>
          <w:marTop w:val="91"/>
          <w:marBottom w:val="0"/>
          <w:divBdr>
            <w:top w:val="none" w:sz="0" w:space="0" w:color="auto"/>
            <w:left w:val="none" w:sz="0" w:space="0" w:color="auto"/>
            <w:bottom w:val="none" w:sz="0" w:space="0" w:color="auto"/>
            <w:right w:val="none" w:sz="0" w:space="0" w:color="auto"/>
          </w:divBdr>
        </w:div>
      </w:divsChild>
    </w:div>
    <w:div w:id="1860268061">
      <w:bodyDiv w:val="1"/>
      <w:marLeft w:val="0"/>
      <w:marRight w:val="0"/>
      <w:marTop w:val="0"/>
      <w:marBottom w:val="0"/>
      <w:divBdr>
        <w:top w:val="none" w:sz="0" w:space="0" w:color="auto"/>
        <w:left w:val="none" w:sz="0" w:space="0" w:color="auto"/>
        <w:bottom w:val="none" w:sz="0" w:space="0" w:color="auto"/>
        <w:right w:val="none" w:sz="0" w:space="0" w:color="auto"/>
      </w:divBdr>
    </w:div>
    <w:div w:id="1916738755">
      <w:bodyDiv w:val="1"/>
      <w:marLeft w:val="0"/>
      <w:marRight w:val="0"/>
      <w:marTop w:val="0"/>
      <w:marBottom w:val="0"/>
      <w:divBdr>
        <w:top w:val="none" w:sz="0" w:space="0" w:color="auto"/>
        <w:left w:val="none" w:sz="0" w:space="0" w:color="auto"/>
        <w:bottom w:val="none" w:sz="0" w:space="0" w:color="auto"/>
        <w:right w:val="none" w:sz="0" w:space="0" w:color="auto"/>
      </w:divBdr>
    </w:div>
    <w:div w:id="1921527061">
      <w:bodyDiv w:val="1"/>
      <w:marLeft w:val="0"/>
      <w:marRight w:val="0"/>
      <w:marTop w:val="0"/>
      <w:marBottom w:val="0"/>
      <w:divBdr>
        <w:top w:val="none" w:sz="0" w:space="0" w:color="auto"/>
        <w:left w:val="none" w:sz="0" w:space="0" w:color="auto"/>
        <w:bottom w:val="none" w:sz="0" w:space="0" w:color="auto"/>
        <w:right w:val="none" w:sz="0" w:space="0" w:color="auto"/>
      </w:divBdr>
    </w:div>
    <w:div w:id="1936667831">
      <w:bodyDiv w:val="1"/>
      <w:marLeft w:val="0"/>
      <w:marRight w:val="0"/>
      <w:marTop w:val="0"/>
      <w:marBottom w:val="0"/>
      <w:divBdr>
        <w:top w:val="none" w:sz="0" w:space="0" w:color="auto"/>
        <w:left w:val="none" w:sz="0" w:space="0" w:color="auto"/>
        <w:bottom w:val="none" w:sz="0" w:space="0" w:color="auto"/>
        <w:right w:val="none" w:sz="0" w:space="0" w:color="auto"/>
      </w:divBdr>
    </w:div>
    <w:div w:id="1994479699">
      <w:bodyDiv w:val="1"/>
      <w:marLeft w:val="0"/>
      <w:marRight w:val="0"/>
      <w:marTop w:val="0"/>
      <w:marBottom w:val="0"/>
      <w:divBdr>
        <w:top w:val="none" w:sz="0" w:space="0" w:color="auto"/>
        <w:left w:val="none" w:sz="0" w:space="0" w:color="auto"/>
        <w:bottom w:val="none" w:sz="0" w:space="0" w:color="auto"/>
        <w:right w:val="none" w:sz="0" w:space="0" w:color="auto"/>
      </w:divBdr>
    </w:div>
    <w:div w:id="1999306963">
      <w:bodyDiv w:val="1"/>
      <w:marLeft w:val="0"/>
      <w:marRight w:val="0"/>
      <w:marTop w:val="0"/>
      <w:marBottom w:val="0"/>
      <w:divBdr>
        <w:top w:val="none" w:sz="0" w:space="0" w:color="auto"/>
        <w:left w:val="none" w:sz="0" w:space="0" w:color="auto"/>
        <w:bottom w:val="none" w:sz="0" w:space="0" w:color="auto"/>
        <w:right w:val="none" w:sz="0" w:space="0" w:color="auto"/>
      </w:divBdr>
    </w:div>
    <w:div w:id="2000692123">
      <w:bodyDiv w:val="1"/>
      <w:marLeft w:val="0"/>
      <w:marRight w:val="0"/>
      <w:marTop w:val="0"/>
      <w:marBottom w:val="0"/>
      <w:divBdr>
        <w:top w:val="none" w:sz="0" w:space="0" w:color="auto"/>
        <w:left w:val="none" w:sz="0" w:space="0" w:color="auto"/>
        <w:bottom w:val="none" w:sz="0" w:space="0" w:color="auto"/>
        <w:right w:val="none" w:sz="0" w:space="0" w:color="auto"/>
      </w:divBdr>
    </w:div>
    <w:div w:id="2080856643">
      <w:bodyDiv w:val="1"/>
      <w:marLeft w:val="0"/>
      <w:marRight w:val="0"/>
      <w:marTop w:val="0"/>
      <w:marBottom w:val="0"/>
      <w:divBdr>
        <w:top w:val="none" w:sz="0" w:space="0" w:color="auto"/>
        <w:left w:val="none" w:sz="0" w:space="0" w:color="auto"/>
        <w:bottom w:val="none" w:sz="0" w:space="0" w:color="auto"/>
        <w:right w:val="none" w:sz="0" w:space="0" w:color="auto"/>
      </w:divBdr>
      <w:divsChild>
        <w:div w:id="251204376">
          <w:marLeft w:val="446"/>
          <w:marRight w:val="0"/>
          <w:marTop w:val="0"/>
          <w:marBottom w:val="0"/>
          <w:divBdr>
            <w:top w:val="none" w:sz="0" w:space="0" w:color="auto"/>
            <w:left w:val="none" w:sz="0" w:space="0" w:color="auto"/>
            <w:bottom w:val="none" w:sz="0" w:space="0" w:color="auto"/>
            <w:right w:val="none" w:sz="0" w:space="0" w:color="auto"/>
          </w:divBdr>
        </w:div>
        <w:div w:id="304436461">
          <w:marLeft w:val="446"/>
          <w:marRight w:val="0"/>
          <w:marTop w:val="0"/>
          <w:marBottom w:val="0"/>
          <w:divBdr>
            <w:top w:val="none" w:sz="0" w:space="0" w:color="auto"/>
            <w:left w:val="none" w:sz="0" w:space="0" w:color="auto"/>
            <w:bottom w:val="none" w:sz="0" w:space="0" w:color="auto"/>
            <w:right w:val="none" w:sz="0" w:space="0" w:color="auto"/>
          </w:divBdr>
        </w:div>
        <w:div w:id="945389522">
          <w:marLeft w:val="446"/>
          <w:marRight w:val="0"/>
          <w:marTop w:val="0"/>
          <w:marBottom w:val="0"/>
          <w:divBdr>
            <w:top w:val="none" w:sz="0" w:space="0" w:color="auto"/>
            <w:left w:val="none" w:sz="0" w:space="0" w:color="auto"/>
            <w:bottom w:val="none" w:sz="0" w:space="0" w:color="auto"/>
            <w:right w:val="none" w:sz="0" w:space="0" w:color="auto"/>
          </w:divBdr>
        </w:div>
        <w:div w:id="1245650424">
          <w:marLeft w:val="446"/>
          <w:marRight w:val="0"/>
          <w:marTop w:val="0"/>
          <w:marBottom w:val="0"/>
          <w:divBdr>
            <w:top w:val="none" w:sz="0" w:space="0" w:color="auto"/>
            <w:left w:val="none" w:sz="0" w:space="0" w:color="auto"/>
            <w:bottom w:val="none" w:sz="0" w:space="0" w:color="auto"/>
            <w:right w:val="none" w:sz="0" w:space="0" w:color="auto"/>
          </w:divBdr>
        </w:div>
      </w:divsChild>
    </w:div>
    <w:div w:id="2091386552">
      <w:bodyDiv w:val="1"/>
      <w:marLeft w:val="0"/>
      <w:marRight w:val="0"/>
      <w:marTop w:val="0"/>
      <w:marBottom w:val="0"/>
      <w:divBdr>
        <w:top w:val="none" w:sz="0" w:space="0" w:color="auto"/>
        <w:left w:val="none" w:sz="0" w:space="0" w:color="auto"/>
        <w:bottom w:val="none" w:sz="0" w:space="0" w:color="auto"/>
        <w:right w:val="none" w:sz="0" w:space="0" w:color="auto"/>
      </w:divBdr>
    </w:div>
    <w:div w:id="2116442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iakhoaphapluat.vn/nghi-dinh-38-2018-nd-c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hiakhoaphapluat.vn/nghi-dinh-38-2018-nd-c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Phan%20Duc%20Hieu\Application%20Data\Microsoft\Templates\Mau%20cong%20van%20TC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A7288-125B-495D-A6A8-5F3D580C5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Mau cong van TCT</Template>
  <TotalTime>37</TotalTime>
  <Pages>35</Pages>
  <Words>16656</Words>
  <Characters>94944</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To trinh De an</vt:lpstr>
    </vt:vector>
  </TitlesOfParts>
  <Company>CIEM</Company>
  <LinksUpToDate>false</LinksUpToDate>
  <CharactersWithSpaces>111378</CharactersWithSpaces>
  <SharedDoc>false</SharedDoc>
  <HLinks>
    <vt:vector size="6" baseType="variant">
      <vt:variant>
        <vt:i4>6750241</vt:i4>
      </vt:variant>
      <vt:variant>
        <vt:i4>0</vt:i4>
      </vt:variant>
      <vt:variant>
        <vt:i4>0</vt:i4>
      </vt:variant>
      <vt:variant>
        <vt:i4>5</vt:i4>
      </vt:variant>
      <vt:variant>
        <vt:lpwstr>http://www.mpi.gov.vn/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trinh De an</dc:title>
  <dc:subject/>
  <dc:creator>Đinh Trọng Thắng</dc:creator>
  <cp:keywords/>
  <dc:description/>
  <cp:lastModifiedBy>admin</cp:lastModifiedBy>
  <cp:revision>12</cp:revision>
  <cp:lastPrinted>2019-12-26T08:40:00Z</cp:lastPrinted>
  <dcterms:created xsi:type="dcterms:W3CDTF">2020-12-15T07:02:00Z</dcterms:created>
  <dcterms:modified xsi:type="dcterms:W3CDTF">2020-12-16T02:05:00Z</dcterms:modified>
</cp:coreProperties>
</file>